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26290767" w:rsidR="00F44C59" w:rsidRPr="007B78C2" w:rsidRDefault="00346E3C" w:rsidP="007B78C2">
      <w:pPr>
        <w:widowControl w:val="0"/>
        <w:tabs>
          <w:tab w:val="left" w:pos="10170"/>
        </w:tabs>
        <w:spacing w:after="0" w:line="240" w:lineRule="auto"/>
        <w:rPr>
          <w:rFonts w:ascii="Arial" w:eastAsia="MS Gothic" w:hAnsi="Arial"/>
          <w:b/>
          <w:sz w:val="24"/>
          <w:szCs w:val="24"/>
          <w:lang w:eastAsia="ja-JP"/>
        </w:rPr>
      </w:pPr>
      <w:bookmarkStart w:id="0" w:name="_Hlk91681971"/>
      <w:bookmarkStart w:id="1" w:name="_Hlk131593396"/>
      <w:bookmarkStart w:id="2" w:name="_Hlk145277948"/>
      <w:r w:rsidRPr="00346E3C">
        <w:rPr>
          <w:rFonts w:ascii="Arial" w:eastAsia="MS Gothic" w:hAnsi="Arial" w:cs="Arial"/>
          <w:b/>
          <w:bCs/>
          <w:sz w:val="24"/>
          <w:szCs w:val="24"/>
          <w:lang w:eastAsia="ja-JP"/>
        </w:rPr>
        <w:t>3GPP TSG RAN WG1 #120bis</w:t>
      </w:r>
      <w:r w:rsidR="00F44C59" w:rsidRPr="00F44C59">
        <w:rPr>
          <w:rFonts w:ascii="Arial" w:eastAsia="MS Gothic" w:hAnsi="Arial"/>
          <w:sz w:val="24"/>
          <w:szCs w:val="24"/>
          <w:lang w:eastAsia="ja-JP"/>
        </w:rPr>
        <w:tab/>
      </w:r>
      <w:r w:rsidR="00F44C59"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00F44C59"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004B68F5">
        <w:rPr>
          <w:rFonts w:ascii="Arial" w:eastAsia="MS Gothic" w:hAnsi="Arial"/>
          <w:sz w:val="24"/>
          <w:szCs w:val="24"/>
          <w:lang w:eastAsia="ja-JP"/>
        </w:rPr>
        <w:t xml:space="preserve"> </w:t>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7B78C2" w:rsidRPr="007B78C2">
        <w:rPr>
          <w:rFonts w:ascii="Arial" w:eastAsia="MS Gothic" w:hAnsi="Arial"/>
          <w:b/>
          <w:sz w:val="24"/>
          <w:szCs w:val="24"/>
          <w:lang w:eastAsia="ja-JP"/>
        </w:rPr>
        <w:t>R1-2502566</w:t>
      </w:r>
    </w:p>
    <w:p w14:paraId="15F153D3" w14:textId="671F45DB" w:rsidR="00F44C59" w:rsidRPr="00F44C59" w:rsidRDefault="00346E3C" w:rsidP="00F44C59">
      <w:pPr>
        <w:widowControl w:val="0"/>
        <w:spacing w:after="240" w:line="240" w:lineRule="auto"/>
        <w:rPr>
          <w:rFonts w:ascii="Arial" w:eastAsia="MS Mincho" w:hAnsi="Arial"/>
          <w:b/>
          <w:sz w:val="24"/>
          <w:szCs w:val="24"/>
          <w:lang w:eastAsia="zh-CN"/>
        </w:rPr>
      </w:pPr>
      <w:r w:rsidRPr="00346E3C">
        <w:rPr>
          <w:rFonts w:ascii="Arial" w:eastAsia="MS Mincho" w:hAnsi="Arial" w:cs="Arial"/>
          <w:b/>
          <w:bCs/>
          <w:sz w:val="24"/>
          <w:szCs w:val="24"/>
          <w:lang w:eastAsia="ja-JP"/>
        </w:rPr>
        <w:t>Wuhan, China, April 7th – 11th, 2025</w:t>
      </w:r>
      <w:r w:rsidR="004B586A">
        <w:rPr>
          <w:rFonts w:ascii="Arial" w:eastAsia="MS Mincho" w:hAnsi="Arial" w:cs="Arial"/>
          <w:b/>
          <w:bCs/>
          <w:sz w:val="28"/>
          <w:lang w:eastAsia="ja-JP"/>
        </w:rPr>
        <w:t xml:space="preserve"> </w:t>
      </w:r>
      <w:bookmarkEnd w:id="0"/>
    </w:p>
    <w:p w14:paraId="66297322" w14:textId="18649CB5" w:rsidR="00F44C59" w:rsidRPr="0072372B"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val="fr-FR" w:eastAsia="ko-KR"/>
        </w:rPr>
      </w:pPr>
      <w:r w:rsidRPr="0072372B">
        <w:rPr>
          <w:rFonts w:ascii="Arial" w:eastAsia="MS Gothic" w:hAnsi="Arial"/>
          <w:b/>
          <w:sz w:val="24"/>
          <w:szCs w:val="24"/>
          <w:lang w:val="fr-FR" w:eastAsia="ja-JP"/>
        </w:rPr>
        <w:t>Agenda item</w:t>
      </w:r>
      <w:r w:rsidR="00F371D3" w:rsidRPr="0072372B">
        <w:rPr>
          <w:rFonts w:ascii="Arial" w:eastAsia="MS Gothic" w:hAnsi="Arial"/>
          <w:b/>
          <w:sz w:val="24"/>
          <w:szCs w:val="24"/>
          <w:lang w:val="fr-FR" w:eastAsia="ja-JP"/>
        </w:rPr>
        <w:t xml:space="preserve"> </w:t>
      </w:r>
      <w:r w:rsidRPr="0072372B">
        <w:rPr>
          <w:rFonts w:ascii="Arial" w:eastAsia="MS Gothic" w:hAnsi="Arial"/>
          <w:b/>
          <w:sz w:val="24"/>
          <w:szCs w:val="24"/>
          <w:lang w:val="fr-FR" w:eastAsia="ja-JP"/>
        </w:rPr>
        <w:t>:</w:t>
      </w:r>
      <w:r w:rsidRPr="0072372B">
        <w:rPr>
          <w:rFonts w:ascii="Arial" w:eastAsia="MS Gothic" w:hAnsi="Arial"/>
          <w:sz w:val="24"/>
          <w:szCs w:val="24"/>
          <w:lang w:val="fr-FR" w:eastAsia="ja-JP"/>
        </w:rPr>
        <w:tab/>
      </w:r>
      <w:bookmarkStart w:id="3" w:name="Source"/>
      <w:bookmarkEnd w:id="3"/>
      <w:r w:rsidRPr="0072372B">
        <w:rPr>
          <w:rFonts w:ascii="Arial" w:eastAsia="MS Gothic" w:hAnsi="Arial"/>
          <w:sz w:val="24"/>
          <w:szCs w:val="24"/>
          <w:lang w:val="fr-FR" w:eastAsia="ja-JP"/>
        </w:rPr>
        <w:tab/>
      </w:r>
      <w:r w:rsidR="007B78C2">
        <w:rPr>
          <w:rFonts w:ascii="Arial" w:eastAsia="Malgun Gothic" w:hAnsi="Arial"/>
          <w:sz w:val="24"/>
          <w:szCs w:val="24"/>
          <w:lang w:val="fr-FR" w:eastAsia="ko-KR"/>
        </w:rPr>
        <w:t>9.11</w:t>
      </w:r>
    </w:p>
    <w:p w14:paraId="5F32C301" w14:textId="62372882" w:rsidR="00F44C59" w:rsidRPr="0072372B"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val="fr-FR" w:eastAsia="zh-CN"/>
        </w:rPr>
      </w:pPr>
      <w:r w:rsidRPr="0072372B">
        <w:rPr>
          <w:rFonts w:ascii="Arial" w:eastAsia="MS Mincho" w:hAnsi="Arial" w:cs="Arial"/>
          <w:b/>
          <w:sz w:val="24"/>
          <w:lang w:val="fr-FR" w:eastAsia="zh-CN"/>
        </w:rPr>
        <w:t>Source</w:t>
      </w:r>
      <w:r w:rsidR="00F371D3" w:rsidRPr="0072372B">
        <w:rPr>
          <w:rFonts w:ascii="Arial" w:eastAsia="MS Mincho" w:hAnsi="Arial" w:cs="Arial"/>
          <w:b/>
          <w:sz w:val="24"/>
          <w:lang w:val="fr-FR" w:eastAsia="zh-CN"/>
        </w:rPr>
        <w:t xml:space="preserve"> </w:t>
      </w:r>
      <w:r w:rsidRPr="0072372B">
        <w:rPr>
          <w:rFonts w:ascii="Arial" w:eastAsia="MS Mincho" w:hAnsi="Arial" w:cs="Arial"/>
          <w:b/>
          <w:sz w:val="24"/>
          <w:lang w:val="fr-FR" w:eastAsia="zh-CN"/>
        </w:rPr>
        <w:t>:</w:t>
      </w:r>
      <w:r w:rsidRPr="0072372B">
        <w:rPr>
          <w:rFonts w:ascii="Arial" w:eastAsia="MS Mincho" w:hAnsi="Arial" w:cs="Arial"/>
          <w:b/>
          <w:sz w:val="24"/>
          <w:lang w:val="fr-FR" w:eastAsia="zh-CN"/>
        </w:rPr>
        <w:tab/>
      </w:r>
      <w:r w:rsidRPr="0072372B">
        <w:rPr>
          <w:rFonts w:ascii="Arial" w:eastAsia="MS Mincho" w:hAnsi="Arial" w:cs="Arial"/>
          <w:b/>
          <w:sz w:val="24"/>
          <w:lang w:val="fr-FR" w:eastAsia="zh-CN"/>
        </w:rPr>
        <w:tab/>
      </w:r>
      <w:r w:rsidRPr="0072372B">
        <w:rPr>
          <w:rFonts w:ascii="Arial" w:eastAsia="MS Mincho" w:hAnsi="Arial" w:cs="Arial"/>
          <w:b/>
          <w:sz w:val="24"/>
          <w:lang w:val="fr-FR" w:eastAsia="zh-CN"/>
        </w:rPr>
        <w:tab/>
      </w:r>
      <w:r w:rsidR="00156256" w:rsidRPr="0072372B">
        <w:rPr>
          <w:rFonts w:ascii="Arial" w:eastAsia="MS Mincho" w:hAnsi="Arial" w:cs="Arial"/>
          <w:sz w:val="24"/>
          <w:lang w:val="fr-FR" w:eastAsia="zh-CN"/>
        </w:rPr>
        <w:t>Rapporteur</w:t>
      </w:r>
      <w:r w:rsidR="00156256" w:rsidRPr="0072372B">
        <w:rPr>
          <w:rFonts w:ascii="Arial" w:eastAsia="MS Mincho" w:hAnsi="Arial" w:cs="Arial"/>
          <w:b/>
          <w:sz w:val="24"/>
          <w:lang w:val="fr-FR" w:eastAsia="zh-CN"/>
        </w:rPr>
        <w:t xml:space="preserve"> (</w:t>
      </w:r>
      <w:r w:rsidR="00FD3A30" w:rsidRPr="0072372B">
        <w:rPr>
          <w:rFonts w:ascii="Arial" w:eastAsia="MS Mincho" w:hAnsi="Arial" w:cs="Arial"/>
          <w:sz w:val="24"/>
          <w:lang w:val="fr-FR" w:eastAsia="zh-CN"/>
        </w:rPr>
        <w:t>Thales</w:t>
      </w:r>
      <w:r w:rsidR="00156256" w:rsidRPr="0072372B">
        <w:rPr>
          <w:rFonts w:ascii="Arial" w:eastAsia="MS Mincho" w:hAnsi="Arial" w:cs="Arial"/>
          <w:sz w:val="24"/>
          <w:lang w:val="fr-FR" w:eastAsia="zh-CN"/>
        </w:rPr>
        <w:t>)</w:t>
      </w:r>
    </w:p>
    <w:p w14:paraId="396FED88" w14:textId="5C1D968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0720F2">
        <w:rPr>
          <w:rFonts w:ascii="Arial" w:eastAsia="MS Mincho" w:hAnsi="Arial" w:cs="Arial"/>
          <w:sz w:val="24"/>
          <w:lang w:eastAsia="zh-CN"/>
        </w:rPr>
        <w:tab/>
      </w:r>
      <w:r w:rsidR="007B78C2" w:rsidRPr="007B78C2">
        <w:rPr>
          <w:rFonts w:ascii="Arial" w:eastAsia="MS Mincho" w:hAnsi="Arial" w:cs="Arial"/>
          <w:sz w:val="24"/>
          <w:lang w:eastAsia="zh-CN"/>
        </w:rPr>
        <w:t>Initial RRC parameters list for Rel-19 NR NTN Phase 3</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6A4D543" w:rsidR="00F44C59" w:rsidRPr="00F44C59" w:rsidRDefault="00B279D6"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32DF610D" w14:textId="74AE6D27" w:rsidR="001D227F" w:rsidRDefault="00156256" w:rsidP="00156256">
      <w:pPr>
        <w:snapToGrid w:val="0"/>
        <w:spacing w:after="0" w:line="240" w:lineRule="auto"/>
        <w:jc w:val="both"/>
        <w:rPr>
          <w:rFonts w:eastAsia="MS Gothic"/>
          <w:szCs w:val="16"/>
          <w:lang w:eastAsia="ko-KR"/>
        </w:rPr>
      </w:pPr>
      <w:bookmarkStart w:id="4" w:name="_Hlk145277988"/>
      <w:r w:rsidRPr="00156256">
        <w:rPr>
          <w:rFonts w:eastAsia="MS Gothic"/>
          <w:szCs w:val="16"/>
          <w:lang w:eastAsia="ko-KR"/>
        </w:rPr>
        <w:t xml:space="preserve">This contribution </w:t>
      </w:r>
      <w:r w:rsidR="0011429F">
        <w:rPr>
          <w:rFonts w:eastAsia="MS Gothic"/>
          <w:szCs w:val="16"/>
          <w:lang w:eastAsia="ko-KR"/>
        </w:rPr>
        <w:t>provides</w:t>
      </w:r>
      <w:r w:rsidRPr="00156256">
        <w:rPr>
          <w:rFonts w:eastAsia="MS Gothic"/>
          <w:szCs w:val="16"/>
          <w:lang w:eastAsia="ko-KR"/>
        </w:rPr>
        <w:t xml:space="preserve"> </w:t>
      </w:r>
      <w:r w:rsidR="007B78C2">
        <w:rPr>
          <w:rFonts w:eastAsia="MS Gothic"/>
          <w:szCs w:val="16"/>
          <w:lang w:eastAsia="ko-KR"/>
        </w:rPr>
        <w:t>i</w:t>
      </w:r>
      <w:r w:rsidR="007B78C2" w:rsidRPr="007B78C2">
        <w:rPr>
          <w:rFonts w:eastAsia="MS Gothic"/>
          <w:szCs w:val="16"/>
          <w:lang w:eastAsia="ko-KR"/>
        </w:rPr>
        <w:t>nitial RRC parameters list for Rel-19 NR NTN Phase 3</w:t>
      </w:r>
      <w:r w:rsidR="00C422FB">
        <w:rPr>
          <w:rFonts w:eastAsia="MS Gothic"/>
          <w:szCs w:val="16"/>
          <w:lang w:eastAsia="ko-KR"/>
        </w:rPr>
        <w:t>.</w:t>
      </w:r>
    </w:p>
    <w:p w14:paraId="5F8BDA52" w14:textId="65C377D2" w:rsidR="00046ABB" w:rsidRDefault="00046ABB" w:rsidP="00156256">
      <w:pPr>
        <w:snapToGrid w:val="0"/>
        <w:spacing w:after="0" w:line="240" w:lineRule="auto"/>
        <w:jc w:val="both"/>
        <w:rPr>
          <w:rFonts w:eastAsia="MS Gothic"/>
          <w:szCs w:val="16"/>
          <w:lang w:eastAsia="ko-KR"/>
        </w:rPr>
      </w:pPr>
      <w:r w:rsidRPr="0011429F">
        <w:rPr>
          <w:rFonts w:eastAsia="MS Gothic"/>
          <w:szCs w:val="16"/>
          <w:u w:val="single"/>
          <w:lang w:eastAsia="ko-KR"/>
        </w:rPr>
        <w:t>Attachment:</w:t>
      </w:r>
      <w:r>
        <w:rPr>
          <w:rFonts w:eastAsia="MS Gothic"/>
          <w:szCs w:val="16"/>
          <w:lang w:eastAsia="ko-KR"/>
        </w:rPr>
        <w:t xml:space="preserve"> Spreadsheet </w:t>
      </w:r>
      <w:r w:rsidRPr="00046ABB">
        <w:rPr>
          <w:rFonts w:eastAsia="MS Gothic"/>
          <w:szCs w:val="16"/>
          <w:lang w:eastAsia="ko-KR"/>
        </w:rPr>
        <w:t>R1-2502566 Initial RRC parameters list for Rel-19 NR NTN Phase 3 - v001</w:t>
      </w:r>
      <w:r>
        <w:rPr>
          <w:rFonts w:eastAsia="MS Gothic"/>
          <w:szCs w:val="16"/>
          <w:lang w:eastAsia="ko-KR"/>
        </w:rPr>
        <w:t>.</w:t>
      </w:r>
    </w:p>
    <w:p w14:paraId="13413336" w14:textId="77777777" w:rsidR="00156256" w:rsidRPr="00156256" w:rsidRDefault="00156256" w:rsidP="00156256">
      <w:pPr>
        <w:snapToGrid w:val="0"/>
        <w:spacing w:after="0" w:line="240" w:lineRule="auto"/>
        <w:jc w:val="both"/>
        <w:rPr>
          <w:rFonts w:eastAsia="MS Gothic"/>
          <w:szCs w:val="16"/>
          <w:lang w:eastAsia="ko-KR"/>
        </w:rPr>
      </w:pPr>
    </w:p>
    <w:p w14:paraId="2FBC76B0" w14:textId="0DC06177" w:rsidR="00FE656F" w:rsidRDefault="00FE656F"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kern w:val="2"/>
          <w:sz w:val="32"/>
        </w:rPr>
      </w:pPr>
      <w:r w:rsidRPr="000D535C">
        <w:rPr>
          <w:rFonts w:ascii="Arial" w:eastAsia="SimSun" w:hAnsi="Arial"/>
          <w:kern w:val="2"/>
          <w:sz w:val="32"/>
        </w:rPr>
        <w:t>Discussion</w:t>
      </w:r>
    </w:p>
    <w:p w14:paraId="2874813A" w14:textId="2A82BCC9" w:rsidR="0094276E" w:rsidRPr="0094276E" w:rsidRDefault="0094276E" w:rsidP="0094276E">
      <w:pPr>
        <w:pStyle w:val="Titre2"/>
        <w:rPr>
          <w:lang w:val="en-US"/>
        </w:rPr>
      </w:pPr>
      <w:r w:rsidRPr="0094276E">
        <w:rPr>
          <w:lang w:val="en-US"/>
        </w:rPr>
        <w:t>NR-NTN downlink coverage enhancement</w:t>
      </w:r>
    </w:p>
    <w:p w14:paraId="7CB921C9" w14:textId="1D3E6F8E" w:rsidR="00B52412" w:rsidRPr="006D5953" w:rsidRDefault="0011429F" w:rsidP="00B11FD3">
      <w:pPr>
        <w:pStyle w:val="0Maintext"/>
        <w:spacing w:after="240" w:afterAutospacing="0"/>
        <w:ind w:firstLine="0"/>
        <w:contextualSpacing/>
      </w:pPr>
      <w:r w:rsidRPr="0011429F">
        <w:rPr>
          <w:b/>
        </w:rPr>
        <w:t>Proposal 1</w:t>
      </w:r>
      <w:r>
        <w:t xml:space="preserve">: </w:t>
      </w:r>
      <w:r w:rsidR="003717A1" w:rsidRPr="003717A1">
        <w:t>Higher layer parameters will be discussed when the design of Rel-19 DL Coverage enhancements/features is better defined</w:t>
      </w:r>
      <w:r>
        <w:t>.</w:t>
      </w:r>
    </w:p>
    <w:p w14:paraId="50CB7FA7" w14:textId="5D316021" w:rsidR="00390D41" w:rsidRPr="00B52412" w:rsidRDefault="00B52412" w:rsidP="00B52412">
      <w:pPr>
        <w:pStyle w:val="Titre2"/>
        <w:rPr>
          <w:lang w:val="en-US"/>
        </w:rPr>
      </w:pPr>
      <w:r w:rsidRPr="00B52412">
        <w:rPr>
          <w:lang w:val="en-US"/>
        </w:rPr>
        <w:t xml:space="preserve">Support of </w:t>
      </w:r>
      <w:proofErr w:type="spellStart"/>
      <w:r w:rsidRPr="00B52412">
        <w:rPr>
          <w:lang w:val="en-US"/>
        </w:rPr>
        <w:t>RedCap</w:t>
      </w:r>
      <w:proofErr w:type="spellEnd"/>
      <w:r w:rsidRPr="00B52412">
        <w:rPr>
          <w:lang w:val="en-US"/>
        </w:rPr>
        <w:t xml:space="preserve"> and </w:t>
      </w:r>
      <w:proofErr w:type="spellStart"/>
      <w:r w:rsidRPr="00B52412">
        <w:rPr>
          <w:lang w:val="en-US"/>
        </w:rPr>
        <w:t>eRedCap</w:t>
      </w:r>
      <w:proofErr w:type="spellEnd"/>
      <w:r w:rsidRPr="00B52412">
        <w:rPr>
          <w:lang w:val="en-US"/>
        </w:rPr>
        <w:t xml:space="preserve"> UEs with NR NTN operating in FR1-NTN bands</w:t>
      </w:r>
    </w:p>
    <w:p w14:paraId="7D9579F6" w14:textId="74D56DFD" w:rsidR="00B21A31" w:rsidRDefault="00B21A31" w:rsidP="00B21A31">
      <w:pPr>
        <w:pStyle w:val="0Maintext"/>
        <w:spacing w:after="240" w:afterAutospacing="0"/>
        <w:ind w:firstLine="0"/>
        <w:contextualSpacing/>
        <w:rPr>
          <w:lang w:eastAsia="ko-KR"/>
        </w:rPr>
      </w:pPr>
      <w:r>
        <w:rPr>
          <w:lang w:eastAsia="ko-KR"/>
        </w:rPr>
        <w:t xml:space="preserve">In the following, we provide a list of </w:t>
      </w:r>
      <w:r w:rsidRPr="007B78C2">
        <w:rPr>
          <w:lang w:eastAsia="ko-KR"/>
        </w:rPr>
        <w:t xml:space="preserve">RRC parameters </w:t>
      </w:r>
      <w:r>
        <w:rPr>
          <w:lang w:eastAsia="ko-KR"/>
        </w:rPr>
        <w:t xml:space="preserve">that need to be supported for </w:t>
      </w:r>
      <w:r w:rsidR="00E65AAD">
        <w:rPr>
          <w:lang w:eastAsia="ko-KR"/>
        </w:rPr>
        <w:t>the s</w:t>
      </w:r>
      <w:r w:rsidR="00E65AAD" w:rsidRPr="00E65AAD">
        <w:rPr>
          <w:lang w:eastAsia="ko-KR"/>
        </w:rPr>
        <w:t xml:space="preserve">upport of </w:t>
      </w:r>
      <w:proofErr w:type="spellStart"/>
      <w:r w:rsidR="00E65AAD" w:rsidRPr="00E65AAD">
        <w:rPr>
          <w:lang w:eastAsia="ko-KR"/>
        </w:rPr>
        <w:t>RedCap</w:t>
      </w:r>
      <w:proofErr w:type="spellEnd"/>
      <w:r w:rsidR="00E65AAD" w:rsidRPr="00E65AAD">
        <w:rPr>
          <w:lang w:eastAsia="ko-KR"/>
        </w:rPr>
        <w:t xml:space="preserve"> and eRedCap UEs with NR NTN operating in FR1-NTN bands</w:t>
      </w:r>
      <w:r>
        <w:rPr>
          <w:lang w:eastAsia="ko-KR"/>
        </w:rPr>
        <w:t xml:space="preserve">. </w:t>
      </w:r>
    </w:p>
    <w:p w14:paraId="6A74DB09" w14:textId="77777777" w:rsidR="00B21A31" w:rsidRDefault="00B21A31" w:rsidP="00B21A31">
      <w:pPr>
        <w:pStyle w:val="0Maintext"/>
        <w:spacing w:after="240" w:afterAutospacing="0"/>
        <w:ind w:firstLine="0"/>
        <w:contextualSpacing/>
      </w:pPr>
      <w:r w:rsidRPr="000073AE">
        <w:rPr>
          <w:lang w:eastAsia="ko-KR"/>
        </w:rPr>
        <w:t>RAN1 agreements for NR NTN Phase 3 up to RAN1#120</w:t>
      </w:r>
      <w:r>
        <w:rPr>
          <w:lang w:eastAsia="ko-KR"/>
        </w:rPr>
        <w:t xml:space="preserve"> could be found in [2, </w:t>
      </w:r>
      <w:r w:rsidRPr="000073AE">
        <w:rPr>
          <w:lang w:eastAsia="ko-KR"/>
        </w:rPr>
        <w:t>R1-2501842</w:t>
      </w:r>
      <w:r>
        <w:rPr>
          <w:lang w:eastAsia="ko-KR"/>
        </w:rPr>
        <w:t>]</w:t>
      </w:r>
      <w:r w:rsidRPr="006D5953">
        <w:t xml:space="preserve"> </w:t>
      </w:r>
    </w:p>
    <w:p w14:paraId="753F2778" w14:textId="77777777" w:rsidR="00390D41" w:rsidRDefault="00390D41" w:rsidP="000200E5">
      <w:pPr>
        <w:pStyle w:val="0Maintext"/>
        <w:spacing w:after="60" w:afterAutospacing="0"/>
        <w:ind w:firstLine="0"/>
        <w:rPr>
          <w:b/>
          <w:lang w:val="en-US" w:eastAsia="ko-KR"/>
        </w:rPr>
      </w:pPr>
    </w:p>
    <w:p w14:paraId="726A2E49" w14:textId="24C51E64" w:rsidR="00390D41" w:rsidRPr="00E65AAD" w:rsidRDefault="0011429F" w:rsidP="000200E5">
      <w:pPr>
        <w:pStyle w:val="0Maintext"/>
        <w:spacing w:after="60" w:afterAutospacing="0"/>
        <w:ind w:firstLine="0"/>
      </w:pPr>
      <w:r w:rsidRPr="0011429F">
        <w:rPr>
          <w:b/>
        </w:rPr>
        <w:t xml:space="preserve">Proposal </w:t>
      </w:r>
      <w:r>
        <w:rPr>
          <w:b/>
        </w:rPr>
        <w:t>2</w:t>
      </w:r>
      <w:r>
        <w:t xml:space="preserve">: </w:t>
      </w:r>
      <w:r w:rsidR="00E65AAD" w:rsidRPr="00E65AAD">
        <w:t xml:space="preserve">Based on </w:t>
      </w:r>
      <w:r w:rsidR="00E65AAD">
        <w:t xml:space="preserve">the agreements achieved so far, the following parameters should be defined. </w:t>
      </w:r>
      <w:r w:rsidR="00FE05E2" w:rsidRPr="00FE05E2">
        <w:t>Further details regarding the parameters' descriptions are yet to be finalized</w:t>
      </w:r>
      <w:r w:rsidR="00FE05E2">
        <w:t>.</w:t>
      </w:r>
    </w:p>
    <w:p w14:paraId="6E407B55" w14:textId="77777777" w:rsidR="00390D41" w:rsidRDefault="00390D41" w:rsidP="000200E5">
      <w:pPr>
        <w:pStyle w:val="0Maintext"/>
        <w:spacing w:after="60" w:afterAutospacing="0"/>
        <w:ind w:firstLine="0"/>
        <w:rPr>
          <w:b/>
          <w:lang w:val="en-US" w:eastAsia="ko-KR"/>
        </w:rPr>
      </w:pPr>
    </w:p>
    <w:tbl>
      <w:tblPr>
        <w:tblW w:w="5000" w:type="pct"/>
        <w:tblCellMar>
          <w:left w:w="70" w:type="dxa"/>
          <w:right w:w="70" w:type="dxa"/>
        </w:tblCellMar>
        <w:tblLook w:val="04A0" w:firstRow="1" w:lastRow="0" w:firstColumn="1" w:lastColumn="0" w:noHBand="0" w:noVBand="1"/>
      </w:tblPr>
      <w:tblGrid>
        <w:gridCol w:w="1327"/>
        <w:gridCol w:w="926"/>
        <w:gridCol w:w="1403"/>
        <w:gridCol w:w="888"/>
        <w:gridCol w:w="783"/>
        <w:gridCol w:w="750"/>
        <w:gridCol w:w="2858"/>
        <w:gridCol w:w="1047"/>
        <w:gridCol w:w="1277"/>
        <w:gridCol w:w="875"/>
        <w:gridCol w:w="841"/>
        <w:gridCol w:w="740"/>
        <w:gridCol w:w="1627"/>
        <w:gridCol w:w="1422"/>
        <w:gridCol w:w="3280"/>
        <w:gridCol w:w="874"/>
      </w:tblGrid>
      <w:tr w:rsidR="00B21A31" w:rsidRPr="00B21A31" w14:paraId="5FE3D94F" w14:textId="77777777" w:rsidTr="003717A1">
        <w:trPr>
          <w:trHeight w:val="765"/>
        </w:trPr>
        <w:tc>
          <w:tcPr>
            <w:tcW w:w="317"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1B9D594A" w14:textId="77777777" w:rsidR="00B21A31" w:rsidRPr="00B21A31" w:rsidRDefault="00B21A31" w:rsidP="00B21A31">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WI code</w:t>
            </w:r>
          </w:p>
        </w:tc>
        <w:tc>
          <w:tcPr>
            <w:tcW w:w="221" w:type="pct"/>
            <w:tcBorders>
              <w:top w:val="single" w:sz="4" w:space="0" w:color="auto"/>
              <w:left w:val="nil"/>
              <w:bottom w:val="single" w:sz="4" w:space="0" w:color="auto"/>
              <w:right w:val="single" w:sz="4" w:space="0" w:color="auto"/>
            </w:tcBorders>
            <w:shd w:val="clear" w:color="000000" w:fill="00B0F0"/>
            <w:vAlign w:val="center"/>
            <w:hideMark/>
          </w:tcPr>
          <w:p w14:paraId="7E773B27" w14:textId="77777777" w:rsidR="00B21A31" w:rsidRPr="00B21A31" w:rsidRDefault="00B21A31" w:rsidP="00B21A31">
            <w:pPr>
              <w:spacing w:after="0" w:line="240" w:lineRule="auto"/>
              <w:rPr>
                <w:rFonts w:ascii="Arial" w:eastAsia="Times New Roman" w:hAnsi="Arial" w:cs="Arial"/>
                <w:b/>
                <w:bCs/>
                <w:color w:val="FFFFFF"/>
                <w:lang w:val="fr-FR" w:eastAsia="fr-FR"/>
              </w:rPr>
            </w:pPr>
            <w:proofErr w:type="spellStart"/>
            <w:r w:rsidRPr="00B21A31">
              <w:rPr>
                <w:rFonts w:ascii="Arial" w:eastAsia="Times New Roman" w:hAnsi="Arial" w:cs="Arial"/>
                <w:b/>
                <w:bCs/>
                <w:color w:val="FFFFFF"/>
                <w:lang w:val="fr-FR" w:eastAsia="fr-FR"/>
              </w:rPr>
              <w:t>Sub-feature</w:t>
            </w:r>
            <w:proofErr w:type="spellEnd"/>
            <w:r w:rsidRPr="00B21A31">
              <w:rPr>
                <w:rFonts w:ascii="Arial" w:eastAsia="Times New Roman" w:hAnsi="Arial" w:cs="Arial"/>
                <w:b/>
                <w:bCs/>
                <w:color w:val="FFFFFF"/>
                <w:lang w:val="fr-FR" w:eastAsia="fr-FR"/>
              </w:rPr>
              <w:t xml:space="preserve"> group</w:t>
            </w:r>
          </w:p>
        </w:tc>
        <w:tc>
          <w:tcPr>
            <w:tcW w:w="335" w:type="pct"/>
            <w:tcBorders>
              <w:top w:val="single" w:sz="4" w:space="0" w:color="auto"/>
              <w:left w:val="nil"/>
              <w:bottom w:val="single" w:sz="4" w:space="0" w:color="auto"/>
              <w:right w:val="single" w:sz="4" w:space="0" w:color="auto"/>
            </w:tcBorders>
            <w:shd w:val="clear" w:color="000000" w:fill="00B0F0"/>
            <w:vAlign w:val="center"/>
            <w:hideMark/>
          </w:tcPr>
          <w:p w14:paraId="3F254E1D" w14:textId="77777777" w:rsidR="00B21A31" w:rsidRPr="00B21A31" w:rsidRDefault="00B21A31" w:rsidP="00B21A31">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RAN1 </w:t>
            </w:r>
            <w:proofErr w:type="spellStart"/>
            <w:r w:rsidRPr="00B21A31">
              <w:rPr>
                <w:rFonts w:ascii="Arial" w:eastAsia="Times New Roman" w:hAnsi="Arial" w:cs="Arial"/>
                <w:b/>
                <w:bCs/>
                <w:color w:val="FFFFFF"/>
                <w:lang w:val="fr-FR" w:eastAsia="fr-FR"/>
              </w:rPr>
              <w:t>specification</w:t>
            </w:r>
            <w:proofErr w:type="spellEnd"/>
          </w:p>
        </w:tc>
        <w:tc>
          <w:tcPr>
            <w:tcW w:w="212" w:type="pct"/>
            <w:tcBorders>
              <w:top w:val="single" w:sz="4" w:space="0" w:color="auto"/>
              <w:left w:val="nil"/>
              <w:bottom w:val="single" w:sz="4" w:space="0" w:color="auto"/>
              <w:right w:val="single" w:sz="4" w:space="0" w:color="auto"/>
            </w:tcBorders>
            <w:shd w:val="clear" w:color="000000" w:fill="00B0F0"/>
            <w:vAlign w:val="center"/>
            <w:hideMark/>
          </w:tcPr>
          <w:p w14:paraId="15328D9F" w14:textId="77777777" w:rsidR="00B21A31" w:rsidRPr="00B21A31" w:rsidRDefault="00B21A31" w:rsidP="00B21A31">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Section</w:t>
            </w:r>
          </w:p>
        </w:tc>
        <w:tc>
          <w:tcPr>
            <w:tcW w:w="187" w:type="pct"/>
            <w:tcBorders>
              <w:top w:val="single" w:sz="4" w:space="0" w:color="auto"/>
              <w:left w:val="nil"/>
              <w:bottom w:val="single" w:sz="4" w:space="0" w:color="auto"/>
              <w:right w:val="single" w:sz="4" w:space="0" w:color="auto"/>
            </w:tcBorders>
            <w:shd w:val="clear" w:color="000000" w:fill="00B0F0"/>
            <w:vAlign w:val="center"/>
            <w:hideMark/>
          </w:tcPr>
          <w:p w14:paraId="4F6FD37E" w14:textId="77777777" w:rsidR="00B21A31" w:rsidRPr="00B21A31" w:rsidRDefault="00B21A31" w:rsidP="00B21A31">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RAN2 Parent IE</w:t>
            </w:r>
          </w:p>
        </w:tc>
        <w:tc>
          <w:tcPr>
            <w:tcW w:w="179" w:type="pct"/>
            <w:tcBorders>
              <w:top w:val="single" w:sz="4" w:space="0" w:color="auto"/>
              <w:left w:val="nil"/>
              <w:bottom w:val="single" w:sz="4" w:space="0" w:color="auto"/>
              <w:right w:val="single" w:sz="4" w:space="0" w:color="auto"/>
            </w:tcBorders>
            <w:shd w:val="clear" w:color="000000" w:fill="00B0F0"/>
            <w:vAlign w:val="center"/>
            <w:hideMark/>
          </w:tcPr>
          <w:p w14:paraId="10117499" w14:textId="77777777" w:rsidR="00B21A31" w:rsidRPr="00B21A31" w:rsidRDefault="00B21A31" w:rsidP="00B21A31">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RAN2 ASN.1 </w:t>
            </w:r>
            <w:proofErr w:type="spellStart"/>
            <w:r w:rsidRPr="00B21A31">
              <w:rPr>
                <w:rFonts w:ascii="Arial" w:eastAsia="Times New Roman" w:hAnsi="Arial" w:cs="Arial"/>
                <w:b/>
                <w:bCs/>
                <w:color w:val="FFFFFF"/>
                <w:lang w:val="fr-FR" w:eastAsia="fr-FR"/>
              </w:rPr>
              <w:t>name</w:t>
            </w:r>
            <w:proofErr w:type="spellEnd"/>
          </w:p>
        </w:tc>
        <w:tc>
          <w:tcPr>
            <w:tcW w:w="683" w:type="pct"/>
            <w:tcBorders>
              <w:top w:val="single" w:sz="4" w:space="0" w:color="auto"/>
              <w:left w:val="nil"/>
              <w:bottom w:val="single" w:sz="4" w:space="0" w:color="auto"/>
              <w:right w:val="single" w:sz="4" w:space="0" w:color="auto"/>
            </w:tcBorders>
            <w:shd w:val="clear" w:color="000000" w:fill="00B0F0"/>
            <w:vAlign w:val="center"/>
            <w:hideMark/>
          </w:tcPr>
          <w:p w14:paraId="08B2D3AC" w14:textId="77777777" w:rsidR="00B21A31" w:rsidRPr="00B21A31" w:rsidRDefault="00B21A31" w:rsidP="00B21A31">
            <w:pPr>
              <w:spacing w:after="0" w:line="240" w:lineRule="auto"/>
              <w:rPr>
                <w:rFonts w:ascii="Arial" w:eastAsia="Times New Roman" w:hAnsi="Arial" w:cs="Arial"/>
                <w:b/>
                <w:bCs/>
                <w:color w:val="FFFFFF"/>
                <w:lang w:eastAsia="fr-FR"/>
              </w:rPr>
            </w:pPr>
            <w:r w:rsidRPr="00B21A31">
              <w:rPr>
                <w:rFonts w:ascii="Arial" w:eastAsia="Times New Roman" w:hAnsi="Arial" w:cs="Arial"/>
                <w:b/>
                <w:bCs/>
                <w:color w:val="FFFFFF"/>
                <w:lang w:eastAsia="fr-FR"/>
              </w:rPr>
              <w:t>Parameter name in the spec</w:t>
            </w:r>
          </w:p>
        </w:tc>
        <w:tc>
          <w:tcPr>
            <w:tcW w:w="250" w:type="pct"/>
            <w:tcBorders>
              <w:top w:val="single" w:sz="4" w:space="0" w:color="auto"/>
              <w:left w:val="nil"/>
              <w:bottom w:val="single" w:sz="4" w:space="0" w:color="auto"/>
              <w:right w:val="single" w:sz="4" w:space="0" w:color="auto"/>
            </w:tcBorders>
            <w:shd w:val="clear" w:color="000000" w:fill="00B0F0"/>
            <w:vAlign w:val="center"/>
            <w:hideMark/>
          </w:tcPr>
          <w:p w14:paraId="4F6F28E7" w14:textId="77777777" w:rsidR="00B21A31" w:rsidRPr="00B21A31" w:rsidRDefault="00B21A31" w:rsidP="00B21A31">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New or </w:t>
            </w:r>
            <w:proofErr w:type="spellStart"/>
            <w:r w:rsidRPr="00B21A31">
              <w:rPr>
                <w:rFonts w:ascii="Arial" w:eastAsia="Times New Roman" w:hAnsi="Arial" w:cs="Arial"/>
                <w:b/>
                <w:bCs/>
                <w:color w:val="FFFFFF"/>
                <w:lang w:val="fr-FR" w:eastAsia="fr-FR"/>
              </w:rPr>
              <w:t>existing</w:t>
            </w:r>
            <w:proofErr w:type="spellEnd"/>
            <w:r w:rsidRPr="00B21A31">
              <w:rPr>
                <w:rFonts w:ascii="Arial" w:eastAsia="Times New Roman" w:hAnsi="Arial" w:cs="Arial"/>
                <w:b/>
                <w:bCs/>
                <w:color w:val="FFFFFF"/>
                <w:lang w:val="fr-FR" w:eastAsia="fr-FR"/>
              </w:rPr>
              <w:t>?</w:t>
            </w:r>
          </w:p>
        </w:tc>
        <w:tc>
          <w:tcPr>
            <w:tcW w:w="305" w:type="pct"/>
            <w:tcBorders>
              <w:top w:val="single" w:sz="4" w:space="0" w:color="auto"/>
              <w:left w:val="nil"/>
              <w:bottom w:val="single" w:sz="4" w:space="0" w:color="auto"/>
              <w:right w:val="single" w:sz="4" w:space="0" w:color="auto"/>
            </w:tcBorders>
            <w:shd w:val="clear" w:color="000000" w:fill="00B0F0"/>
            <w:vAlign w:val="center"/>
            <w:hideMark/>
          </w:tcPr>
          <w:p w14:paraId="4E1CE46F" w14:textId="77777777" w:rsidR="00B21A31" w:rsidRPr="00B21A31" w:rsidRDefault="00B21A31" w:rsidP="00B21A31">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Description</w:t>
            </w:r>
          </w:p>
        </w:tc>
        <w:tc>
          <w:tcPr>
            <w:tcW w:w="209" w:type="pct"/>
            <w:tcBorders>
              <w:top w:val="single" w:sz="4" w:space="0" w:color="auto"/>
              <w:left w:val="nil"/>
              <w:bottom w:val="single" w:sz="4" w:space="0" w:color="auto"/>
              <w:right w:val="single" w:sz="4" w:space="0" w:color="auto"/>
            </w:tcBorders>
            <w:shd w:val="clear" w:color="000000" w:fill="00B0F0"/>
            <w:vAlign w:val="center"/>
            <w:hideMark/>
          </w:tcPr>
          <w:p w14:paraId="457445F9" w14:textId="77777777" w:rsidR="00B21A31" w:rsidRPr="00B21A31" w:rsidRDefault="00B21A31" w:rsidP="00B21A31">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Value range</w:t>
            </w:r>
          </w:p>
        </w:tc>
        <w:tc>
          <w:tcPr>
            <w:tcW w:w="201" w:type="pct"/>
            <w:tcBorders>
              <w:top w:val="single" w:sz="4" w:space="0" w:color="auto"/>
              <w:left w:val="nil"/>
              <w:bottom w:val="single" w:sz="4" w:space="0" w:color="auto"/>
              <w:right w:val="single" w:sz="4" w:space="0" w:color="auto"/>
            </w:tcBorders>
            <w:shd w:val="clear" w:color="000000" w:fill="00B0F0"/>
            <w:vAlign w:val="center"/>
            <w:hideMark/>
          </w:tcPr>
          <w:p w14:paraId="18AD3E85" w14:textId="77777777" w:rsidR="00B21A31" w:rsidRPr="00B21A31" w:rsidRDefault="00B21A31" w:rsidP="00B21A31">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Default value aspect</w:t>
            </w:r>
          </w:p>
        </w:tc>
        <w:tc>
          <w:tcPr>
            <w:tcW w:w="177" w:type="pct"/>
            <w:tcBorders>
              <w:top w:val="single" w:sz="4" w:space="0" w:color="auto"/>
              <w:left w:val="nil"/>
              <w:bottom w:val="single" w:sz="4" w:space="0" w:color="auto"/>
              <w:right w:val="single" w:sz="4" w:space="0" w:color="auto"/>
            </w:tcBorders>
            <w:shd w:val="clear" w:color="000000" w:fill="00B0F0"/>
            <w:vAlign w:val="center"/>
            <w:hideMark/>
          </w:tcPr>
          <w:p w14:paraId="49443EB8" w14:textId="77777777" w:rsidR="00B21A31" w:rsidRPr="00B21A31" w:rsidRDefault="00B21A31" w:rsidP="00B21A31">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 xml:space="preserve">Per (UE, </w:t>
            </w:r>
            <w:proofErr w:type="spellStart"/>
            <w:r w:rsidRPr="00B21A31">
              <w:rPr>
                <w:rFonts w:ascii="Arial" w:eastAsia="Times New Roman" w:hAnsi="Arial" w:cs="Arial"/>
                <w:b/>
                <w:bCs/>
                <w:color w:val="FFFFFF"/>
                <w:lang w:val="fr-FR" w:eastAsia="fr-FR"/>
              </w:rPr>
              <w:t>cell</w:t>
            </w:r>
            <w:proofErr w:type="spellEnd"/>
            <w:r w:rsidRPr="00B21A31">
              <w:rPr>
                <w:rFonts w:ascii="Arial" w:eastAsia="Times New Roman" w:hAnsi="Arial" w:cs="Arial"/>
                <w:b/>
                <w:bCs/>
                <w:color w:val="FFFFFF"/>
                <w:lang w:val="fr-FR" w:eastAsia="fr-FR"/>
              </w:rPr>
              <w:t>, TRP, …)</w:t>
            </w:r>
          </w:p>
        </w:tc>
        <w:tc>
          <w:tcPr>
            <w:tcW w:w="389" w:type="pct"/>
            <w:tcBorders>
              <w:top w:val="single" w:sz="4" w:space="0" w:color="auto"/>
              <w:left w:val="nil"/>
              <w:bottom w:val="single" w:sz="4" w:space="0" w:color="auto"/>
              <w:right w:val="single" w:sz="4" w:space="0" w:color="auto"/>
            </w:tcBorders>
            <w:shd w:val="clear" w:color="000000" w:fill="00B0F0"/>
            <w:vAlign w:val="center"/>
            <w:hideMark/>
          </w:tcPr>
          <w:p w14:paraId="5A2700D8" w14:textId="77777777" w:rsidR="00B21A31" w:rsidRPr="00B21A31" w:rsidRDefault="00B21A31" w:rsidP="00B21A31">
            <w:pPr>
              <w:spacing w:after="0" w:line="240" w:lineRule="auto"/>
              <w:rPr>
                <w:rFonts w:ascii="Arial" w:eastAsia="Times New Roman" w:hAnsi="Arial" w:cs="Arial"/>
                <w:b/>
                <w:bCs/>
                <w:color w:val="FFFFFF"/>
                <w:lang w:eastAsia="fr-FR"/>
              </w:rPr>
            </w:pPr>
            <w:r w:rsidRPr="00B21A31">
              <w:rPr>
                <w:rFonts w:ascii="Arial" w:eastAsia="Times New Roman" w:hAnsi="Arial" w:cs="Arial"/>
                <w:b/>
                <w:bCs/>
                <w:color w:val="FFFFFF"/>
                <w:lang w:eastAsia="fr-FR"/>
              </w:rPr>
              <w:t>Required for initial access or IDLE/INACTIVE</w:t>
            </w:r>
          </w:p>
        </w:tc>
        <w:tc>
          <w:tcPr>
            <w:tcW w:w="340" w:type="pct"/>
            <w:tcBorders>
              <w:top w:val="single" w:sz="4" w:space="0" w:color="auto"/>
              <w:left w:val="nil"/>
              <w:bottom w:val="single" w:sz="4" w:space="0" w:color="auto"/>
              <w:right w:val="single" w:sz="4" w:space="0" w:color="auto"/>
            </w:tcBorders>
            <w:shd w:val="clear" w:color="000000" w:fill="00B0F0"/>
            <w:vAlign w:val="center"/>
            <w:hideMark/>
          </w:tcPr>
          <w:p w14:paraId="25583CCE" w14:textId="77777777" w:rsidR="00B21A31" w:rsidRPr="00B21A31" w:rsidRDefault="00B21A31" w:rsidP="00B21A31">
            <w:pPr>
              <w:spacing w:after="0" w:line="240" w:lineRule="auto"/>
              <w:rPr>
                <w:rFonts w:ascii="Arial" w:eastAsia="Times New Roman" w:hAnsi="Arial" w:cs="Arial"/>
                <w:b/>
                <w:bCs/>
                <w:color w:val="FFFFFF"/>
                <w:lang w:val="fr-FR" w:eastAsia="fr-FR"/>
              </w:rPr>
            </w:pPr>
            <w:proofErr w:type="spellStart"/>
            <w:r w:rsidRPr="00B21A31">
              <w:rPr>
                <w:rFonts w:ascii="Arial" w:eastAsia="Times New Roman" w:hAnsi="Arial" w:cs="Arial"/>
                <w:b/>
                <w:bCs/>
                <w:color w:val="FFFFFF"/>
                <w:lang w:val="fr-FR" w:eastAsia="fr-FR"/>
              </w:rPr>
              <w:t>Specification</w:t>
            </w:r>
            <w:proofErr w:type="spellEnd"/>
          </w:p>
        </w:tc>
        <w:tc>
          <w:tcPr>
            <w:tcW w:w="784" w:type="pct"/>
            <w:tcBorders>
              <w:top w:val="single" w:sz="4" w:space="0" w:color="auto"/>
              <w:left w:val="nil"/>
              <w:bottom w:val="single" w:sz="4" w:space="0" w:color="auto"/>
              <w:right w:val="single" w:sz="4" w:space="0" w:color="auto"/>
            </w:tcBorders>
            <w:shd w:val="clear" w:color="000000" w:fill="00B0F0"/>
            <w:vAlign w:val="center"/>
            <w:hideMark/>
          </w:tcPr>
          <w:p w14:paraId="4521789D" w14:textId="77777777" w:rsidR="00B21A31" w:rsidRPr="00B21A31" w:rsidRDefault="00B21A31" w:rsidP="00B21A31">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Comment</w:t>
            </w:r>
          </w:p>
        </w:tc>
        <w:tc>
          <w:tcPr>
            <w:tcW w:w="209" w:type="pct"/>
            <w:tcBorders>
              <w:top w:val="single" w:sz="4" w:space="0" w:color="auto"/>
              <w:left w:val="nil"/>
              <w:bottom w:val="single" w:sz="4" w:space="0" w:color="auto"/>
              <w:right w:val="single" w:sz="4" w:space="0" w:color="auto"/>
            </w:tcBorders>
            <w:shd w:val="clear" w:color="000000" w:fill="00B0F0"/>
            <w:vAlign w:val="center"/>
            <w:hideMark/>
          </w:tcPr>
          <w:p w14:paraId="301CE758" w14:textId="77777777" w:rsidR="00B21A31" w:rsidRPr="00B21A31" w:rsidRDefault="00B21A31" w:rsidP="00B21A31">
            <w:pPr>
              <w:spacing w:after="0" w:line="240" w:lineRule="auto"/>
              <w:rPr>
                <w:rFonts w:ascii="Arial" w:eastAsia="Times New Roman" w:hAnsi="Arial" w:cs="Arial"/>
                <w:b/>
                <w:bCs/>
                <w:color w:val="FFFFFF"/>
                <w:lang w:val="fr-FR" w:eastAsia="fr-FR"/>
              </w:rPr>
            </w:pPr>
            <w:proofErr w:type="spellStart"/>
            <w:r w:rsidRPr="00B21A31">
              <w:rPr>
                <w:rFonts w:ascii="Arial" w:eastAsia="Times New Roman" w:hAnsi="Arial" w:cs="Arial"/>
                <w:b/>
                <w:bCs/>
                <w:color w:val="FFFFFF"/>
                <w:lang w:val="fr-FR" w:eastAsia="fr-FR"/>
              </w:rPr>
              <w:t>Status</w:t>
            </w:r>
            <w:proofErr w:type="spellEnd"/>
          </w:p>
        </w:tc>
      </w:tr>
      <w:tr w:rsidR="00B21A31" w:rsidRPr="00B21A31" w14:paraId="2F36CBE5" w14:textId="77777777" w:rsidTr="003717A1">
        <w:trPr>
          <w:trHeight w:val="1680"/>
        </w:trPr>
        <w:tc>
          <w:tcPr>
            <w:tcW w:w="317" w:type="pct"/>
            <w:tcBorders>
              <w:top w:val="nil"/>
              <w:left w:val="single" w:sz="4" w:space="0" w:color="auto"/>
              <w:bottom w:val="single" w:sz="4" w:space="0" w:color="auto"/>
              <w:right w:val="single" w:sz="4" w:space="0" w:color="auto"/>
            </w:tcBorders>
            <w:shd w:val="clear" w:color="000000" w:fill="FFFF00"/>
            <w:noWrap/>
            <w:vAlign w:val="center"/>
            <w:hideMark/>
          </w:tcPr>
          <w:p w14:paraId="43148A55"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NR_NTN_Ph3</w:t>
            </w:r>
          </w:p>
        </w:tc>
        <w:tc>
          <w:tcPr>
            <w:tcW w:w="221" w:type="pct"/>
            <w:tcBorders>
              <w:top w:val="nil"/>
              <w:left w:val="nil"/>
              <w:bottom w:val="single" w:sz="4" w:space="0" w:color="auto"/>
              <w:right w:val="single" w:sz="4" w:space="0" w:color="auto"/>
            </w:tcBorders>
            <w:shd w:val="clear" w:color="000000" w:fill="FFFF00"/>
            <w:vAlign w:val="center"/>
            <w:hideMark/>
          </w:tcPr>
          <w:p w14:paraId="060BC888" w14:textId="77777777" w:rsidR="00B21A31" w:rsidRPr="00B21A31" w:rsidRDefault="00B21A31" w:rsidP="00B21A31">
            <w:pPr>
              <w:spacing w:after="0" w:line="240" w:lineRule="auto"/>
              <w:rPr>
                <w:rFonts w:ascii="Arial" w:eastAsia="Times New Roman" w:hAnsi="Arial" w:cs="Arial"/>
                <w:color w:val="0000FF"/>
                <w:sz w:val="18"/>
                <w:szCs w:val="18"/>
                <w:lang w:eastAsia="fr-FR"/>
              </w:rPr>
            </w:pPr>
            <w:r w:rsidRPr="00B21A31">
              <w:rPr>
                <w:rFonts w:ascii="Arial" w:eastAsia="Times New Roman" w:hAnsi="Arial" w:cs="Arial"/>
                <w:color w:val="0000FF"/>
                <w:sz w:val="18"/>
                <w:szCs w:val="18"/>
                <w:lang w:eastAsia="fr-FR"/>
              </w:rPr>
              <w:t xml:space="preserve">Support of </w:t>
            </w:r>
            <w:proofErr w:type="spellStart"/>
            <w:r w:rsidRPr="00B21A31">
              <w:rPr>
                <w:rFonts w:ascii="Arial" w:eastAsia="Times New Roman" w:hAnsi="Arial" w:cs="Arial"/>
                <w:color w:val="0000FF"/>
                <w:sz w:val="18"/>
                <w:szCs w:val="18"/>
                <w:lang w:eastAsia="fr-FR"/>
              </w:rPr>
              <w:t>RedCap</w:t>
            </w:r>
            <w:proofErr w:type="spellEnd"/>
            <w:r w:rsidRPr="00B21A31">
              <w:rPr>
                <w:rFonts w:ascii="Arial" w:eastAsia="Times New Roman" w:hAnsi="Arial" w:cs="Arial"/>
                <w:color w:val="0000FF"/>
                <w:sz w:val="18"/>
                <w:szCs w:val="18"/>
                <w:lang w:eastAsia="fr-FR"/>
              </w:rPr>
              <w:t xml:space="preserve"> and </w:t>
            </w:r>
            <w:proofErr w:type="spellStart"/>
            <w:r w:rsidRPr="00B21A31">
              <w:rPr>
                <w:rFonts w:ascii="Arial" w:eastAsia="Times New Roman" w:hAnsi="Arial" w:cs="Arial"/>
                <w:color w:val="0000FF"/>
                <w:sz w:val="18"/>
                <w:szCs w:val="18"/>
                <w:lang w:eastAsia="fr-FR"/>
              </w:rPr>
              <w:t>eRedCap</w:t>
            </w:r>
            <w:proofErr w:type="spellEnd"/>
            <w:r w:rsidRPr="00B21A31">
              <w:rPr>
                <w:rFonts w:ascii="Arial" w:eastAsia="Times New Roman" w:hAnsi="Arial" w:cs="Arial"/>
                <w:color w:val="0000FF"/>
                <w:sz w:val="18"/>
                <w:szCs w:val="18"/>
                <w:lang w:eastAsia="fr-FR"/>
              </w:rPr>
              <w:t xml:space="preserve"> UEs with NR NTN operating in FR1-NTN bands</w:t>
            </w:r>
          </w:p>
        </w:tc>
        <w:tc>
          <w:tcPr>
            <w:tcW w:w="335" w:type="pct"/>
            <w:tcBorders>
              <w:top w:val="nil"/>
              <w:left w:val="nil"/>
              <w:bottom w:val="single" w:sz="4" w:space="0" w:color="auto"/>
              <w:right w:val="single" w:sz="4" w:space="0" w:color="auto"/>
            </w:tcBorders>
            <w:shd w:val="clear" w:color="000000" w:fill="FFFF00"/>
            <w:noWrap/>
            <w:vAlign w:val="center"/>
            <w:hideMark/>
          </w:tcPr>
          <w:p w14:paraId="0D18C13B"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TS 38.213</w:t>
            </w:r>
          </w:p>
        </w:tc>
        <w:tc>
          <w:tcPr>
            <w:tcW w:w="212" w:type="pct"/>
            <w:tcBorders>
              <w:top w:val="nil"/>
              <w:left w:val="nil"/>
              <w:bottom w:val="single" w:sz="4" w:space="0" w:color="auto"/>
              <w:right w:val="single" w:sz="4" w:space="0" w:color="auto"/>
            </w:tcBorders>
            <w:shd w:val="clear" w:color="000000" w:fill="FFFF00"/>
            <w:noWrap/>
            <w:vAlign w:val="center"/>
            <w:hideMark/>
          </w:tcPr>
          <w:p w14:paraId="09B9B447"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17.2</w:t>
            </w:r>
          </w:p>
        </w:tc>
        <w:tc>
          <w:tcPr>
            <w:tcW w:w="187" w:type="pct"/>
            <w:tcBorders>
              <w:top w:val="nil"/>
              <w:left w:val="nil"/>
              <w:bottom w:val="single" w:sz="4" w:space="0" w:color="auto"/>
              <w:right w:val="single" w:sz="4" w:space="0" w:color="auto"/>
            </w:tcBorders>
            <w:shd w:val="clear" w:color="000000" w:fill="FFFF00"/>
            <w:noWrap/>
            <w:vAlign w:val="center"/>
            <w:hideMark/>
          </w:tcPr>
          <w:p w14:paraId="3445B1FB"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 </w:t>
            </w:r>
          </w:p>
        </w:tc>
        <w:tc>
          <w:tcPr>
            <w:tcW w:w="179" w:type="pct"/>
            <w:tcBorders>
              <w:top w:val="nil"/>
              <w:left w:val="nil"/>
              <w:bottom w:val="single" w:sz="4" w:space="0" w:color="auto"/>
              <w:right w:val="single" w:sz="4" w:space="0" w:color="auto"/>
            </w:tcBorders>
            <w:shd w:val="clear" w:color="000000" w:fill="FFFF00"/>
            <w:noWrap/>
            <w:vAlign w:val="center"/>
            <w:hideMark/>
          </w:tcPr>
          <w:p w14:paraId="70C9A7C6"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 </w:t>
            </w:r>
          </w:p>
        </w:tc>
        <w:tc>
          <w:tcPr>
            <w:tcW w:w="683" w:type="pct"/>
            <w:tcBorders>
              <w:top w:val="nil"/>
              <w:left w:val="nil"/>
              <w:bottom w:val="single" w:sz="4" w:space="0" w:color="auto"/>
              <w:right w:val="single" w:sz="4" w:space="0" w:color="auto"/>
            </w:tcBorders>
            <w:shd w:val="clear" w:color="000000" w:fill="FFFF00"/>
            <w:vAlign w:val="center"/>
            <w:hideMark/>
          </w:tcPr>
          <w:p w14:paraId="03363C9D"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ntnRedCapULoverridingDLcase3</w:t>
            </w:r>
          </w:p>
        </w:tc>
        <w:tc>
          <w:tcPr>
            <w:tcW w:w="250" w:type="pct"/>
            <w:tcBorders>
              <w:top w:val="nil"/>
              <w:left w:val="nil"/>
              <w:bottom w:val="single" w:sz="4" w:space="0" w:color="auto"/>
              <w:right w:val="single" w:sz="4" w:space="0" w:color="auto"/>
            </w:tcBorders>
            <w:shd w:val="clear" w:color="000000" w:fill="FFFF00"/>
            <w:noWrap/>
            <w:vAlign w:val="center"/>
            <w:hideMark/>
          </w:tcPr>
          <w:p w14:paraId="52BFF2E1"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New</w:t>
            </w:r>
          </w:p>
        </w:tc>
        <w:tc>
          <w:tcPr>
            <w:tcW w:w="305" w:type="pct"/>
            <w:tcBorders>
              <w:top w:val="nil"/>
              <w:left w:val="nil"/>
              <w:bottom w:val="single" w:sz="4" w:space="0" w:color="auto"/>
              <w:right w:val="single" w:sz="4" w:space="0" w:color="auto"/>
            </w:tcBorders>
            <w:shd w:val="clear" w:color="000000" w:fill="FFFF00"/>
            <w:vAlign w:val="center"/>
            <w:hideMark/>
          </w:tcPr>
          <w:p w14:paraId="22151861" w14:textId="77777777" w:rsidR="00B21A31" w:rsidRPr="00B21A31" w:rsidRDefault="00B21A31" w:rsidP="00B21A31">
            <w:pPr>
              <w:spacing w:after="0" w:line="240" w:lineRule="auto"/>
              <w:rPr>
                <w:rFonts w:ascii="Arial" w:eastAsia="Times New Roman" w:hAnsi="Arial" w:cs="Arial"/>
                <w:color w:val="0000FF"/>
                <w:sz w:val="18"/>
                <w:szCs w:val="18"/>
                <w:lang w:eastAsia="fr-FR"/>
              </w:rPr>
            </w:pPr>
            <w:r w:rsidRPr="00B21A31">
              <w:rPr>
                <w:rFonts w:ascii="Arial" w:eastAsia="Times New Roman" w:hAnsi="Arial" w:cs="Arial"/>
                <w:color w:val="0000FF"/>
                <w:sz w:val="18"/>
                <w:szCs w:val="18"/>
                <w:lang w:eastAsia="fr-FR"/>
              </w:rPr>
              <w:t>This parameter indicates UL overriding DL in RRC-Connected mode for collision case 3. It indicates overriding for all the applicable other use cases except for collisions with Type-0/0A/1/2-PDCCH CSS</w:t>
            </w:r>
          </w:p>
        </w:tc>
        <w:tc>
          <w:tcPr>
            <w:tcW w:w="209" w:type="pct"/>
            <w:tcBorders>
              <w:top w:val="nil"/>
              <w:left w:val="nil"/>
              <w:bottom w:val="single" w:sz="4" w:space="0" w:color="auto"/>
              <w:right w:val="single" w:sz="4" w:space="0" w:color="auto"/>
            </w:tcBorders>
            <w:shd w:val="clear" w:color="000000" w:fill="FFFF00"/>
            <w:noWrap/>
            <w:vAlign w:val="center"/>
            <w:hideMark/>
          </w:tcPr>
          <w:p w14:paraId="1E551755"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single bit</w:t>
            </w:r>
          </w:p>
        </w:tc>
        <w:tc>
          <w:tcPr>
            <w:tcW w:w="201" w:type="pct"/>
            <w:tcBorders>
              <w:top w:val="nil"/>
              <w:left w:val="nil"/>
              <w:bottom w:val="single" w:sz="4" w:space="0" w:color="auto"/>
              <w:right w:val="single" w:sz="4" w:space="0" w:color="auto"/>
            </w:tcBorders>
            <w:shd w:val="clear" w:color="000000" w:fill="FFFF00"/>
            <w:noWrap/>
            <w:vAlign w:val="center"/>
            <w:hideMark/>
          </w:tcPr>
          <w:p w14:paraId="416CE667"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 </w:t>
            </w:r>
          </w:p>
        </w:tc>
        <w:tc>
          <w:tcPr>
            <w:tcW w:w="177" w:type="pct"/>
            <w:tcBorders>
              <w:top w:val="nil"/>
              <w:left w:val="nil"/>
              <w:bottom w:val="single" w:sz="4" w:space="0" w:color="auto"/>
              <w:right w:val="single" w:sz="4" w:space="0" w:color="auto"/>
            </w:tcBorders>
            <w:shd w:val="clear" w:color="000000" w:fill="FFFF00"/>
            <w:noWrap/>
            <w:vAlign w:val="center"/>
            <w:hideMark/>
          </w:tcPr>
          <w:p w14:paraId="09CFE50C"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Per UE</w:t>
            </w:r>
          </w:p>
        </w:tc>
        <w:tc>
          <w:tcPr>
            <w:tcW w:w="389" w:type="pct"/>
            <w:tcBorders>
              <w:top w:val="nil"/>
              <w:left w:val="nil"/>
              <w:bottom w:val="single" w:sz="4" w:space="0" w:color="auto"/>
              <w:right w:val="single" w:sz="4" w:space="0" w:color="auto"/>
            </w:tcBorders>
            <w:shd w:val="clear" w:color="000000" w:fill="FFFF00"/>
            <w:noWrap/>
            <w:vAlign w:val="center"/>
            <w:hideMark/>
          </w:tcPr>
          <w:p w14:paraId="0792B8DB"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 </w:t>
            </w:r>
          </w:p>
        </w:tc>
        <w:tc>
          <w:tcPr>
            <w:tcW w:w="340" w:type="pct"/>
            <w:tcBorders>
              <w:top w:val="nil"/>
              <w:left w:val="nil"/>
              <w:bottom w:val="single" w:sz="4" w:space="0" w:color="auto"/>
              <w:right w:val="single" w:sz="4" w:space="0" w:color="auto"/>
            </w:tcBorders>
            <w:shd w:val="clear" w:color="000000" w:fill="FFFF00"/>
            <w:noWrap/>
            <w:vAlign w:val="center"/>
            <w:hideMark/>
          </w:tcPr>
          <w:p w14:paraId="22CA6594"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 </w:t>
            </w:r>
          </w:p>
        </w:tc>
        <w:tc>
          <w:tcPr>
            <w:tcW w:w="784" w:type="pct"/>
            <w:tcBorders>
              <w:top w:val="nil"/>
              <w:left w:val="nil"/>
              <w:bottom w:val="single" w:sz="4" w:space="0" w:color="auto"/>
              <w:right w:val="single" w:sz="4" w:space="0" w:color="auto"/>
            </w:tcBorders>
            <w:shd w:val="clear" w:color="000000" w:fill="FFFF00"/>
            <w:vAlign w:val="center"/>
            <w:hideMark/>
          </w:tcPr>
          <w:p w14:paraId="49A7A533" w14:textId="77777777" w:rsidR="00B21A31" w:rsidRPr="00B21A31" w:rsidRDefault="00B21A31" w:rsidP="00B21A31">
            <w:pPr>
              <w:spacing w:after="0" w:line="240" w:lineRule="auto"/>
              <w:rPr>
                <w:rFonts w:ascii="Arial" w:eastAsia="Times New Roman" w:hAnsi="Arial" w:cs="Arial"/>
                <w:color w:val="0000FF"/>
                <w:sz w:val="18"/>
                <w:szCs w:val="18"/>
                <w:lang w:eastAsia="fr-FR"/>
              </w:rPr>
            </w:pPr>
            <w:r w:rsidRPr="00B21A31">
              <w:rPr>
                <w:rFonts w:ascii="Arial" w:eastAsia="Times New Roman" w:hAnsi="Arial" w:cs="Arial"/>
                <w:color w:val="0000FF"/>
                <w:sz w:val="18"/>
                <w:szCs w:val="18"/>
                <w:lang w:eastAsia="fr-FR"/>
              </w:rPr>
              <w:t>Agreement</w:t>
            </w:r>
            <w:r w:rsidRPr="00B21A31">
              <w:rPr>
                <w:rFonts w:ascii="Arial" w:eastAsia="Times New Roman" w:hAnsi="Arial" w:cs="Arial"/>
                <w:color w:val="0000FF"/>
                <w:sz w:val="18"/>
                <w:szCs w:val="18"/>
                <w:lang w:eastAsia="fr-FR"/>
              </w:rPr>
              <w:br/>
              <w:t>When network indicates UL overriding DL in RRC-Connected mode for collision case 3, one UE-specific RRC parameter is used to indicate overriding for all the applicable other use cases except for collisions with Type-0/0A/1/2-PDCCH CSS.</w:t>
            </w:r>
          </w:p>
        </w:tc>
        <w:tc>
          <w:tcPr>
            <w:tcW w:w="209" w:type="pct"/>
            <w:tcBorders>
              <w:top w:val="nil"/>
              <w:left w:val="nil"/>
              <w:bottom w:val="single" w:sz="4" w:space="0" w:color="auto"/>
              <w:right w:val="single" w:sz="4" w:space="0" w:color="auto"/>
            </w:tcBorders>
            <w:shd w:val="clear" w:color="000000" w:fill="FFFF00"/>
            <w:noWrap/>
            <w:vAlign w:val="center"/>
            <w:hideMark/>
          </w:tcPr>
          <w:p w14:paraId="3F79657A"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proofErr w:type="spellStart"/>
            <w:r w:rsidRPr="00B21A31">
              <w:rPr>
                <w:rFonts w:ascii="Arial" w:eastAsia="Times New Roman" w:hAnsi="Arial" w:cs="Arial"/>
                <w:color w:val="0000FF"/>
                <w:sz w:val="18"/>
                <w:szCs w:val="18"/>
                <w:lang w:val="fr-FR" w:eastAsia="fr-FR"/>
              </w:rPr>
              <w:t>Unstable</w:t>
            </w:r>
            <w:proofErr w:type="spellEnd"/>
          </w:p>
        </w:tc>
      </w:tr>
      <w:tr w:rsidR="00B21A31" w:rsidRPr="00B21A31" w14:paraId="650BC0DA" w14:textId="77777777" w:rsidTr="003717A1">
        <w:trPr>
          <w:trHeight w:val="6720"/>
        </w:trPr>
        <w:tc>
          <w:tcPr>
            <w:tcW w:w="317" w:type="pct"/>
            <w:tcBorders>
              <w:top w:val="nil"/>
              <w:left w:val="single" w:sz="4" w:space="0" w:color="auto"/>
              <w:bottom w:val="single" w:sz="4" w:space="0" w:color="auto"/>
              <w:right w:val="single" w:sz="4" w:space="0" w:color="auto"/>
            </w:tcBorders>
            <w:shd w:val="clear" w:color="000000" w:fill="FFFF00"/>
            <w:noWrap/>
            <w:vAlign w:val="center"/>
            <w:hideMark/>
          </w:tcPr>
          <w:p w14:paraId="6438CA1C"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lastRenderedPageBreak/>
              <w:t>NR_NTN_Ph3</w:t>
            </w:r>
          </w:p>
        </w:tc>
        <w:tc>
          <w:tcPr>
            <w:tcW w:w="221" w:type="pct"/>
            <w:tcBorders>
              <w:top w:val="nil"/>
              <w:left w:val="nil"/>
              <w:bottom w:val="single" w:sz="4" w:space="0" w:color="auto"/>
              <w:right w:val="single" w:sz="4" w:space="0" w:color="auto"/>
            </w:tcBorders>
            <w:shd w:val="clear" w:color="000000" w:fill="FFFF00"/>
            <w:vAlign w:val="center"/>
            <w:hideMark/>
          </w:tcPr>
          <w:p w14:paraId="71AE7DAB" w14:textId="77777777" w:rsidR="00B21A31" w:rsidRPr="00B21A31" w:rsidRDefault="00B21A31" w:rsidP="00B21A31">
            <w:pPr>
              <w:spacing w:after="0" w:line="240" w:lineRule="auto"/>
              <w:rPr>
                <w:rFonts w:ascii="Arial" w:eastAsia="Times New Roman" w:hAnsi="Arial" w:cs="Arial"/>
                <w:color w:val="0000FF"/>
                <w:sz w:val="18"/>
                <w:szCs w:val="18"/>
                <w:lang w:eastAsia="fr-FR"/>
              </w:rPr>
            </w:pPr>
            <w:r w:rsidRPr="00B21A31">
              <w:rPr>
                <w:rFonts w:ascii="Arial" w:eastAsia="Times New Roman" w:hAnsi="Arial" w:cs="Arial"/>
                <w:color w:val="0000FF"/>
                <w:sz w:val="18"/>
                <w:szCs w:val="18"/>
                <w:lang w:eastAsia="fr-FR"/>
              </w:rPr>
              <w:t xml:space="preserve">Support of </w:t>
            </w:r>
            <w:proofErr w:type="spellStart"/>
            <w:r w:rsidRPr="00B21A31">
              <w:rPr>
                <w:rFonts w:ascii="Arial" w:eastAsia="Times New Roman" w:hAnsi="Arial" w:cs="Arial"/>
                <w:color w:val="0000FF"/>
                <w:sz w:val="18"/>
                <w:szCs w:val="18"/>
                <w:lang w:eastAsia="fr-FR"/>
              </w:rPr>
              <w:t>RedCap</w:t>
            </w:r>
            <w:proofErr w:type="spellEnd"/>
            <w:r w:rsidRPr="00B21A31">
              <w:rPr>
                <w:rFonts w:ascii="Arial" w:eastAsia="Times New Roman" w:hAnsi="Arial" w:cs="Arial"/>
                <w:color w:val="0000FF"/>
                <w:sz w:val="18"/>
                <w:szCs w:val="18"/>
                <w:lang w:eastAsia="fr-FR"/>
              </w:rPr>
              <w:t xml:space="preserve"> and </w:t>
            </w:r>
            <w:proofErr w:type="spellStart"/>
            <w:r w:rsidRPr="00B21A31">
              <w:rPr>
                <w:rFonts w:ascii="Arial" w:eastAsia="Times New Roman" w:hAnsi="Arial" w:cs="Arial"/>
                <w:color w:val="0000FF"/>
                <w:sz w:val="18"/>
                <w:szCs w:val="18"/>
                <w:lang w:eastAsia="fr-FR"/>
              </w:rPr>
              <w:t>eRedCap</w:t>
            </w:r>
            <w:proofErr w:type="spellEnd"/>
            <w:r w:rsidRPr="00B21A31">
              <w:rPr>
                <w:rFonts w:ascii="Arial" w:eastAsia="Times New Roman" w:hAnsi="Arial" w:cs="Arial"/>
                <w:color w:val="0000FF"/>
                <w:sz w:val="18"/>
                <w:szCs w:val="18"/>
                <w:lang w:eastAsia="fr-FR"/>
              </w:rPr>
              <w:t xml:space="preserve"> UEs with NR NTN operating in FR1-NTN bands</w:t>
            </w:r>
          </w:p>
        </w:tc>
        <w:tc>
          <w:tcPr>
            <w:tcW w:w="335" w:type="pct"/>
            <w:tcBorders>
              <w:top w:val="nil"/>
              <w:left w:val="nil"/>
              <w:bottom w:val="single" w:sz="4" w:space="0" w:color="auto"/>
              <w:right w:val="single" w:sz="4" w:space="0" w:color="auto"/>
            </w:tcBorders>
            <w:shd w:val="clear" w:color="000000" w:fill="FFFF00"/>
            <w:noWrap/>
            <w:vAlign w:val="center"/>
            <w:hideMark/>
          </w:tcPr>
          <w:p w14:paraId="4E17FFBB"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TS 38.213</w:t>
            </w:r>
          </w:p>
        </w:tc>
        <w:tc>
          <w:tcPr>
            <w:tcW w:w="212" w:type="pct"/>
            <w:tcBorders>
              <w:top w:val="nil"/>
              <w:left w:val="nil"/>
              <w:bottom w:val="single" w:sz="4" w:space="0" w:color="auto"/>
              <w:right w:val="single" w:sz="4" w:space="0" w:color="auto"/>
            </w:tcBorders>
            <w:shd w:val="clear" w:color="000000" w:fill="FFFF00"/>
            <w:noWrap/>
            <w:vAlign w:val="center"/>
            <w:hideMark/>
          </w:tcPr>
          <w:p w14:paraId="09BA9775"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17.2</w:t>
            </w:r>
          </w:p>
        </w:tc>
        <w:tc>
          <w:tcPr>
            <w:tcW w:w="187" w:type="pct"/>
            <w:tcBorders>
              <w:top w:val="nil"/>
              <w:left w:val="nil"/>
              <w:bottom w:val="single" w:sz="4" w:space="0" w:color="auto"/>
              <w:right w:val="single" w:sz="4" w:space="0" w:color="auto"/>
            </w:tcBorders>
            <w:shd w:val="clear" w:color="000000" w:fill="FFFF00"/>
            <w:noWrap/>
            <w:vAlign w:val="center"/>
            <w:hideMark/>
          </w:tcPr>
          <w:p w14:paraId="565113E8"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 </w:t>
            </w:r>
          </w:p>
        </w:tc>
        <w:tc>
          <w:tcPr>
            <w:tcW w:w="179" w:type="pct"/>
            <w:tcBorders>
              <w:top w:val="nil"/>
              <w:left w:val="nil"/>
              <w:bottom w:val="single" w:sz="4" w:space="0" w:color="auto"/>
              <w:right w:val="single" w:sz="4" w:space="0" w:color="auto"/>
            </w:tcBorders>
            <w:shd w:val="clear" w:color="000000" w:fill="FFFF00"/>
            <w:noWrap/>
            <w:vAlign w:val="center"/>
            <w:hideMark/>
          </w:tcPr>
          <w:p w14:paraId="7F759227"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 </w:t>
            </w:r>
          </w:p>
        </w:tc>
        <w:tc>
          <w:tcPr>
            <w:tcW w:w="683" w:type="pct"/>
            <w:tcBorders>
              <w:top w:val="nil"/>
              <w:left w:val="nil"/>
              <w:bottom w:val="single" w:sz="4" w:space="0" w:color="auto"/>
              <w:right w:val="single" w:sz="4" w:space="0" w:color="auto"/>
            </w:tcBorders>
            <w:shd w:val="clear" w:color="000000" w:fill="FFFF00"/>
            <w:vAlign w:val="center"/>
            <w:hideMark/>
          </w:tcPr>
          <w:p w14:paraId="5C74F16E"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ntnRedCapXLoverridingXLcase4</w:t>
            </w:r>
          </w:p>
        </w:tc>
        <w:tc>
          <w:tcPr>
            <w:tcW w:w="250" w:type="pct"/>
            <w:tcBorders>
              <w:top w:val="nil"/>
              <w:left w:val="nil"/>
              <w:bottom w:val="single" w:sz="4" w:space="0" w:color="auto"/>
              <w:right w:val="single" w:sz="4" w:space="0" w:color="auto"/>
            </w:tcBorders>
            <w:shd w:val="clear" w:color="000000" w:fill="FFFF00"/>
            <w:noWrap/>
            <w:vAlign w:val="center"/>
            <w:hideMark/>
          </w:tcPr>
          <w:p w14:paraId="0D5EEE31"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New</w:t>
            </w:r>
          </w:p>
        </w:tc>
        <w:tc>
          <w:tcPr>
            <w:tcW w:w="305" w:type="pct"/>
            <w:tcBorders>
              <w:top w:val="nil"/>
              <w:left w:val="nil"/>
              <w:bottom w:val="single" w:sz="4" w:space="0" w:color="auto"/>
              <w:right w:val="single" w:sz="4" w:space="0" w:color="auto"/>
            </w:tcBorders>
            <w:shd w:val="clear" w:color="000000" w:fill="FFFF00"/>
            <w:vAlign w:val="center"/>
            <w:hideMark/>
          </w:tcPr>
          <w:p w14:paraId="1487D837" w14:textId="77777777" w:rsidR="00B21A31" w:rsidRPr="00B21A31" w:rsidRDefault="00B21A31" w:rsidP="00B21A31">
            <w:pPr>
              <w:spacing w:after="0" w:line="240" w:lineRule="auto"/>
              <w:rPr>
                <w:rFonts w:ascii="Arial" w:eastAsia="Times New Roman" w:hAnsi="Arial" w:cs="Arial"/>
                <w:color w:val="0000FF"/>
                <w:sz w:val="18"/>
                <w:szCs w:val="18"/>
                <w:lang w:eastAsia="fr-FR"/>
              </w:rPr>
            </w:pPr>
            <w:r w:rsidRPr="00B21A31">
              <w:rPr>
                <w:rFonts w:ascii="Arial" w:eastAsia="Times New Roman" w:hAnsi="Arial" w:cs="Arial"/>
                <w:color w:val="0000FF"/>
                <w:sz w:val="18"/>
                <w:szCs w:val="18"/>
                <w:lang w:eastAsia="fr-FR"/>
              </w:rPr>
              <w:t>For collision case 4, this parameter indicates [UL or DL] overriding [DL or UL] for all cases</w:t>
            </w:r>
          </w:p>
        </w:tc>
        <w:tc>
          <w:tcPr>
            <w:tcW w:w="209" w:type="pct"/>
            <w:tcBorders>
              <w:top w:val="nil"/>
              <w:left w:val="nil"/>
              <w:bottom w:val="single" w:sz="4" w:space="0" w:color="auto"/>
              <w:right w:val="single" w:sz="4" w:space="0" w:color="auto"/>
            </w:tcBorders>
            <w:shd w:val="clear" w:color="000000" w:fill="FFFF00"/>
            <w:noWrap/>
            <w:vAlign w:val="center"/>
            <w:hideMark/>
          </w:tcPr>
          <w:p w14:paraId="3A7E706D"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single bit</w:t>
            </w:r>
          </w:p>
        </w:tc>
        <w:tc>
          <w:tcPr>
            <w:tcW w:w="201" w:type="pct"/>
            <w:tcBorders>
              <w:top w:val="nil"/>
              <w:left w:val="nil"/>
              <w:bottom w:val="single" w:sz="4" w:space="0" w:color="auto"/>
              <w:right w:val="single" w:sz="4" w:space="0" w:color="auto"/>
            </w:tcBorders>
            <w:shd w:val="clear" w:color="000000" w:fill="FFFF00"/>
            <w:noWrap/>
            <w:vAlign w:val="center"/>
            <w:hideMark/>
          </w:tcPr>
          <w:p w14:paraId="1FABD327"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 </w:t>
            </w:r>
          </w:p>
        </w:tc>
        <w:tc>
          <w:tcPr>
            <w:tcW w:w="177" w:type="pct"/>
            <w:tcBorders>
              <w:top w:val="nil"/>
              <w:left w:val="nil"/>
              <w:bottom w:val="single" w:sz="4" w:space="0" w:color="auto"/>
              <w:right w:val="single" w:sz="4" w:space="0" w:color="auto"/>
            </w:tcBorders>
            <w:shd w:val="clear" w:color="000000" w:fill="FFFF00"/>
            <w:noWrap/>
            <w:vAlign w:val="center"/>
            <w:hideMark/>
          </w:tcPr>
          <w:p w14:paraId="1DD03292"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Per UE</w:t>
            </w:r>
          </w:p>
        </w:tc>
        <w:tc>
          <w:tcPr>
            <w:tcW w:w="389" w:type="pct"/>
            <w:tcBorders>
              <w:top w:val="nil"/>
              <w:left w:val="nil"/>
              <w:bottom w:val="single" w:sz="4" w:space="0" w:color="auto"/>
              <w:right w:val="single" w:sz="4" w:space="0" w:color="auto"/>
            </w:tcBorders>
            <w:shd w:val="clear" w:color="000000" w:fill="FFFF00"/>
            <w:noWrap/>
            <w:vAlign w:val="center"/>
            <w:hideMark/>
          </w:tcPr>
          <w:p w14:paraId="5730D5BE"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 </w:t>
            </w:r>
          </w:p>
        </w:tc>
        <w:tc>
          <w:tcPr>
            <w:tcW w:w="340" w:type="pct"/>
            <w:tcBorders>
              <w:top w:val="nil"/>
              <w:left w:val="nil"/>
              <w:bottom w:val="single" w:sz="4" w:space="0" w:color="auto"/>
              <w:right w:val="single" w:sz="4" w:space="0" w:color="auto"/>
            </w:tcBorders>
            <w:shd w:val="clear" w:color="000000" w:fill="FFFF00"/>
            <w:noWrap/>
            <w:vAlign w:val="center"/>
            <w:hideMark/>
          </w:tcPr>
          <w:p w14:paraId="0784B78A"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 </w:t>
            </w:r>
          </w:p>
        </w:tc>
        <w:tc>
          <w:tcPr>
            <w:tcW w:w="784" w:type="pct"/>
            <w:tcBorders>
              <w:top w:val="nil"/>
              <w:left w:val="nil"/>
              <w:bottom w:val="single" w:sz="4" w:space="0" w:color="auto"/>
              <w:right w:val="single" w:sz="4" w:space="0" w:color="auto"/>
            </w:tcBorders>
            <w:shd w:val="clear" w:color="000000" w:fill="FFFF00"/>
            <w:vAlign w:val="center"/>
            <w:hideMark/>
          </w:tcPr>
          <w:p w14:paraId="0981D0A0" w14:textId="77777777" w:rsidR="00B21A31" w:rsidRPr="00B21A31" w:rsidRDefault="00B21A31" w:rsidP="00B21A31">
            <w:pPr>
              <w:spacing w:after="0" w:line="240" w:lineRule="auto"/>
              <w:rPr>
                <w:rFonts w:ascii="Arial" w:eastAsia="Times New Roman" w:hAnsi="Arial" w:cs="Arial"/>
                <w:color w:val="0000FF"/>
                <w:sz w:val="18"/>
                <w:szCs w:val="18"/>
                <w:lang w:eastAsia="fr-FR"/>
              </w:rPr>
            </w:pPr>
            <w:r w:rsidRPr="00B21A31">
              <w:rPr>
                <w:rFonts w:ascii="Arial" w:eastAsia="Times New Roman" w:hAnsi="Arial" w:cs="Arial"/>
                <w:color w:val="0000FF"/>
                <w:sz w:val="18"/>
                <w:szCs w:val="18"/>
                <w:lang w:eastAsia="fr-FR"/>
              </w:rPr>
              <w:t xml:space="preserve">Working assumption </w:t>
            </w:r>
            <w:r w:rsidRPr="00B21A31">
              <w:rPr>
                <w:rFonts w:ascii="Arial" w:eastAsia="Times New Roman" w:hAnsi="Arial" w:cs="Arial"/>
                <w:color w:val="0000FF"/>
                <w:sz w:val="18"/>
                <w:szCs w:val="18"/>
                <w:lang w:eastAsia="fr-FR"/>
              </w:rPr>
              <w:br/>
              <w:t>For Rel-19 NTN HD-FDD (e)Redcap UE in RRC connected mode, the following handling rule for collision case 4 is supported:</w:t>
            </w:r>
            <w:r w:rsidRPr="00B21A31">
              <w:rPr>
                <w:rFonts w:ascii="Arial" w:eastAsia="Times New Roman" w:hAnsi="Arial" w:cs="Arial"/>
                <w:color w:val="0000FF"/>
                <w:sz w:val="18"/>
                <w:szCs w:val="18"/>
                <w:lang w:eastAsia="fr-FR"/>
              </w:rPr>
              <w:br/>
              <w:t>• Handling of collision with PDSCH (at least for system information) scheduled by Type-0/0A[/1][/2]-PDCCH CSS in RRC-Connected mode is left to UE implementation whether to prioritize UL or prioritize DL with the constraint in the following note.</w:t>
            </w:r>
            <w:r w:rsidRPr="00B21A31">
              <w:rPr>
                <w:rFonts w:ascii="Arial" w:eastAsia="Times New Roman" w:hAnsi="Arial" w:cs="Arial"/>
                <w:color w:val="0000FF"/>
                <w:sz w:val="18"/>
                <w:szCs w:val="18"/>
                <w:lang w:eastAsia="fr-FR"/>
              </w:rPr>
              <w:br/>
              <w:t>• FFS: handling of PDCCH ordered PRACH transmission</w:t>
            </w:r>
            <w:r w:rsidRPr="00B21A31">
              <w:rPr>
                <w:rFonts w:ascii="Arial" w:eastAsia="Times New Roman" w:hAnsi="Arial" w:cs="Arial"/>
                <w:color w:val="0000FF"/>
                <w:sz w:val="18"/>
                <w:szCs w:val="18"/>
                <w:lang w:eastAsia="fr-FR"/>
              </w:rPr>
              <w:br/>
              <w:t>• For other use cases, default priority rule for collision case 4 in RRC-Connected mode is that [DL or UL] is prioritized.</w:t>
            </w:r>
            <w:r w:rsidRPr="00B21A31">
              <w:rPr>
                <w:rFonts w:ascii="Arial" w:eastAsia="Times New Roman" w:hAnsi="Arial" w:cs="Arial"/>
                <w:color w:val="0000FF"/>
                <w:sz w:val="18"/>
                <w:szCs w:val="18"/>
                <w:lang w:eastAsia="fr-FR"/>
              </w:rPr>
              <w:br/>
              <w:t>o Network is allowed to indicate [UL or DL] overriding [DL or UL] for all cases</w:t>
            </w:r>
            <w:r w:rsidRPr="00B21A31">
              <w:rPr>
                <w:rFonts w:ascii="Arial" w:eastAsia="Times New Roman" w:hAnsi="Arial" w:cs="Arial"/>
                <w:color w:val="0000FF"/>
                <w:sz w:val="18"/>
                <w:szCs w:val="18"/>
                <w:lang w:eastAsia="fr-FR"/>
              </w:rPr>
              <w:br/>
              <w:t>§ This is signaled by one UE specific RRC parameter</w:t>
            </w:r>
            <w:r w:rsidRPr="00B21A31">
              <w:rPr>
                <w:rFonts w:ascii="Arial" w:eastAsia="Times New Roman" w:hAnsi="Arial" w:cs="Arial"/>
                <w:color w:val="0000FF"/>
                <w:sz w:val="18"/>
                <w:szCs w:val="18"/>
                <w:lang w:eastAsia="fr-FR"/>
              </w:rPr>
              <w:br/>
              <w:t>o Note: if DL is prioritized, the DL prioritization applies only if the UL cancellation timeline can be satisfied, otherwise UL is prioritized.</w:t>
            </w:r>
            <w:r w:rsidRPr="00B21A31">
              <w:rPr>
                <w:rFonts w:ascii="Arial" w:eastAsia="Times New Roman" w:hAnsi="Arial" w:cs="Arial"/>
                <w:color w:val="0000FF"/>
                <w:sz w:val="18"/>
                <w:szCs w:val="18"/>
                <w:lang w:eastAsia="fr-FR"/>
              </w:rPr>
              <w:br/>
              <w:t>Note: UE shall comply to the following existing procedure in 38.331:</w:t>
            </w:r>
            <w:r w:rsidRPr="00B21A31">
              <w:rPr>
                <w:rFonts w:ascii="Arial" w:eastAsia="Times New Roman" w:hAnsi="Arial" w:cs="Arial"/>
                <w:color w:val="0000FF"/>
                <w:sz w:val="18"/>
                <w:szCs w:val="18"/>
                <w:lang w:eastAsia="fr-FR"/>
              </w:rPr>
              <w:br/>
              <w:t xml:space="preserve">· UEs in RRC_CONNECTED shall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 </w:t>
            </w:r>
          </w:p>
        </w:tc>
        <w:tc>
          <w:tcPr>
            <w:tcW w:w="209" w:type="pct"/>
            <w:tcBorders>
              <w:top w:val="nil"/>
              <w:left w:val="nil"/>
              <w:bottom w:val="single" w:sz="4" w:space="0" w:color="auto"/>
              <w:right w:val="single" w:sz="4" w:space="0" w:color="auto"/>
            </w:tcBorders>
            <w:shd w:val="clear" w:color="000000" w:fill="FFFF00"/>
            <w:noWrap/>
            <w:vAlign w:val="center"/>
            <w:hideMark/>
          </w:tcPr>
          <w:p w14:paraId="542D3309" w14:textId="77777777" w:rsidR="00B21A31" w:rsidRPr="00B21A31" w:rsidRDefault="00B21A31" w:rsidP="00B21A31">
            <w:pPr>
              <w:spacing w:after="0" w:line="240" w:lineRule="auto"/>
              <w:rPr>
                <w:rFonts w:ascii="Arial" w:eastAsia="Times New Roman" w:hAnsi="Arial" w:cs="Arial"/>
                <w:color w:val="0000FF"/>
                <w:sz w:val="18"/>
                <w:szCs w:val="18"/>
                <w:lang w:val="fr-FR" w:eastAsia="fr-FR"/>
              </w:rPr>
            </w:pPr>
            <w:proofErr w:type="spellStart"/>
            <w:r w:rsidRPr="00B21A31">
              <w:rPr>
                <w:rFonts w:ascii="Arial" w:eastAsia="Times New Roman" w:hAnsi="Arial" w:cs="Arial"/>
                <w:color w:val="0000FF"/>
                <w:sz w:val="18"/>
                <w:szCs w:val="18"/>
                <w:lang w:val="fr-FR" w:eastAsia="fr-FR"/>
              </w:rPr>
              <w:t>Unstable</w:t>
            </w:r>
            <w:proofErr w:type="spellEnd"/>
          </w:p>
        </w:tc>
      </w:tr>
    </w:tbl>
    <w:p w14:paraId="5D66CF5B" w14:textId="77777777" w:rsidR="00390D41" w:rsidRDefault="00390D41" w:rsidP="000200E5">
      <w:pPr>
        <w:pStyle w:val="0Maintext"/>
        <w:spacing w:after="60" w:afterAutospacing="0"/>
        <w:ind w:firstLine="0"/>
        <w:rPr>
          <w:b/>
          <w:lang w:val="en-US" w:eastAsia="ko-KR"/>
        </w:rPr>
      </w:pPr>
    </w:p>
    <w:p w14:paraId="5103D8A8" w14:textId="3E5FE76B" w:rsidR="000D535C" w:rsidRPr="00FD3A30" w:rsidRDefault="00FD3A30" w:rsidP="000200E5">
      <w:pPr>
        <w:pStyle w:val="Titre2"/>
        <w:rPr>
          <w:lang w:val="en-US"/>
        </w:rPr>
      </w:pPr>
      <w:r w:rsidRPr="00FD3A30">
        <w:rPr>
          <w:lang w:val="en-US"/>
        </w:rPr>
        <w:t>NR-NTN uplink capacity/throughput enhancement</w:t>
      </w:r>
    </w:p>
    <w:p w14:paraId="4F423A17" w14:textId="0C08F690" w:rsidR="003717A1" w:rsidRPr="006D5953" w:rsidRDefault="009A1D43" w:rsidP="003717A1">
      <w:pPr>
        <w:pStyle w:val="0Maintext"/>
        <w:spacing w:after="240" w:afterAutospacing="0"/>
        <w:ind w:firstLine="0"/>
        <w:contextualSpacing/>
      </w:pPr>
      <w:r w:rsidRPr="009A1D43">
        <w:rPr>
          <w:b/>
          <w:lang w:val="en-US"/>
        </w:rPr>
        <w:t>Proposal 3</w:t>
      </w:r>
      <w:r>
        <w:rPr>
          <w:lang w:val="en-US"/>
        </w:rPr>
        <w:t xml:space="preserve">: </w:t>
      </w:r>
      <w:r w:rsidR="003717A1" w:rsidRPr="003717A1">
        <w:t xml:space="preserve">Higher layer parameters </w:t>
      </w:r>
      <w:r>
        <w:t xml:space="preserve">for </w:t>
      </w:r>
      <w:r w:rsidRPr="00FE05E2">
        <w:t>NR-NTN uplink capacity/throughput enhancement</w:t>
      </w:r>
      <w:r>
        <w:t xml:space="preserve"> </w:t>
      </w:r>
      <w:r w:rsidR="003717A1" w:rsidRPr="003717A1">
        <w:t xml:space="preserve">will </w:t>
      </w:r>
      <w:r>
        <w:t xml:space="preserve">be discussed when the design </w:t>
      </w:r>
      <w:r w:rsidR="003717A1" w:rsidRPr="003717A1">
        <w:t>is better defined</w:t>
      </w:r>
    </w:p>
    <w:p w14:paraId="113D2241" w14:textId="77777777" w:rsidR="00491373" w:rsidRPr="003717A1" w:rsidRDefault="00491373" w:rsidP="0037215A">
      <w:pPr>
        <w:pStyle w:val="0Maintext"/>
        <w:spacing w:after="60" w:afterAutospacing="0"/>
        <w:ind w:firstLine="0"/>
        <w:rPr>
          <w:b/>
          <w:lang w:eastAsia="ko-KR"/>
        </w:rPr>
      </w:pPr>
    </w:p>
    <w:p w14:paraId="148A1A9C" w14:textId="77777777" w:rsidR="00892C5C" w:rsidRDefault="00892C5C" w:rsidP="0037215A">
      <w:pPr>
        <w:pStyle w:val="0Maintext"/>
        <w:spacing w:after="60" w:afterAutospacing="0"/>
        <w:ind w:firstLine="0"/>
        <w:rPr>
          <w:lang w:val="en-US" w:eastAsia="ko-KR"/>
        </w:rPr>
      </w:pPr>
    </w:p>
    <w:p w14:paraId="692B3A1C" w14:textId="267041FB" w:rsidR="00D85001" w:rsidRDefault="00D85001" w:rsidP="00D85001">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Conclusion</w:t>
      </w:r>
    </w:p>
    <w:bookmarkEnd w:id="1"/>
    <w:p w14:paraId="68C89D56"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4A3181CF"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09B7D75C"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268E2120"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5E9C27B3"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334B8ED4" w14:textId="22712BCB" w:rsidR="008B0873" w:rsidRDefault="008B0873" w:rsidP="00A275DA">
      <w:pPr>
        <w:pStyle w:val="0Maintext"/>
        <w:spacing w:after="240" w:afterAutospacing="0"/>
        <w:ind w:firstLine="0"/>
        <w:contextualSpacing/>
        <w:rPr>
          <w:lang w:eastAsia="ko-KR"/>
        </w:rPr>
      </w:pPr>
      <w:r>
        <w:rPr>
          <w:lang w:eastAsia="ko-KR"/>
        </w:rPr>
        <w:t xml:space="preserve">In this contribution, </w:t>
      </w:r>
      <w:r w:rsidR="004C3563">
        <w:rPr>
          <w:lang w:eastAsia="ko-KR"/>
        </w:rPr>
        <w:t xml:space="preserve">we made </w:t>
      </w:r>
      <w:r>
        <w:rPr>
          <w:lang w:eastAsia="ko-KR"/>
        </w:rPr>
        <w:t>the following proposals:</w:t>
      </w:r>
    </w:p>
    <w:p w14:paraId="6AA9E063" w14:textId="36C57A5B" w:rsidR="00E418E4" w:rsidRDefault="00E418E4" w:rsidP="00A275DA">
      <w:pPr>
        <w:pStyle w:val="0Maintext"/>
        <w:spacing w:after="240" w:afterAutospacing="0"/>
        <w:ind w:firstLine="0"/>
        <w:contextualSpacing/>
        <w:rPr>
          <w:lang w:eastAsia="ko-KR"/>
        </w:rPr>
      </w:pPr>
    </w:p>
    <w:p w14:paraId="44851372" w14:textId="390DE028" w:rsidR="009A1D43" w:rsidRDefault="00E418E4" w:rsidP="00A275DA">
      <w:pPr>
        <w:pStyle w:val="0Maintext"/>
        <w:spacing w:after="240" w:afterAutospacing="0"/>
        <w:ind w:firstLine="0"/>
        <w:contextualSpacing/>
        <w:rPr>
          <w:u w:val="single"/>
          <w:lang w:eastAsia="ko-KR"/>
        </w:rPr>
      </w:pPr>
      <w:r w:rsidRPr="00E418E4">
        <w:rPr>
          <w:u w:val="single"/>
          <w:lang w:eastAsia="ko-KR"/>
        </w:rPr>
        <w:t>NR-NTN downlink coverage enhancement</w:t>
      </w:r>
      <w:r>
        <w:rPr>
          <w:u w:val="single"/>
          <w:lang w:eastAsia="ko-KR"/>
        </w:rPr>
        <w:t>:</w:t>
      </w:r>
    </w:p>
    <w:p w14:paraId="75E18704" w14:textId="50837266" w:rsidR="00E418E4" w:rsidRDefault="009A1D43" w:rsidP="009A1D43">
      <w:pPr>
        <w:pStyle w:val="0Maintext"/>
        <w:spacing w:after="240" w:afterAutospacing="0"/>
        <w:ind w:firstLine="0"/>
        <w:contextualSpacing/>
      </w:pPr>
      <w:r w:rsidRPr="0011429F">
        <w:rPr>
          <w:b/>
        </w:rPr>
        <w:t>Proposal 1</w:t>
      </w:r>
      <w:r>
        <w:t xml:space="preserve">: </w:t>
      </w:r>
      <w:r w:rsidRPr="003717A1">
        <w:t>Higher layer parameters will be discussed when the design of Rel-19 DL Coverage enhancements/features is better defined</w:t>
      </w:r>
      <w:r w:rsidR="00E418E4">
        <w:t>.</w:t>
      </w:r>
    </w:p>
    <w:p w14:paraId="318CCF33" w14:textId="05ED2643" w:rsidR="009A1D43" w:rsidRDefault="009A1D43" w:rsidP="009A1D43">
      <w:pPr>
        <w:pStyle w:val="0Maintext"/>
        <w:spacing w:after="240" w:afterAutospacing="0"/>
        <w:ind w:firstLine="0"/>
        <w:contextualSpacing/>
      </w:pPr>
      <w:r>
        <w:t>.</w:t>
      </w:r>
    </w:p>
    <w:p w14:paraId="45424208" w14:textId="722C800B" w:rsidR="00E418E4" w:rsidRDefault="00E418E4" w:rsidP="009A1D43">
      <w:pPr>
        <w:pStyle w:val="0Maintext"/>
        <w:spacing w:after="240" w:afterAutospacing="0"/>
        <w:ind w:firstLine="0"/>
        <w:contextualSpacing/>
        <w:rPr>
          <w:u w:val="single"/>
          <w:lang w:eastAsia="ko-KR"/>
        </w:rPr>
      </w:pPr>
      <w:r w:rsidRPr="00E418E4">
        <w:rPr>
          <w:u w:val="single"/>
          <w:lang w:eastAsia="ko-KR"/>
        </w:rPr>
        <w:t xml:space="preserve">Support of </w:t>
      </w:r>
      <w:proofErr w:type="spellStart"/>
      <w:r w:rsidRPr="00E418E4">
        <w:rPr>
          <w:u w:val="single"/>
          <w:lang w:eastAsia="ko-KR"/>
        </w:rPr>
        <w:t>RedCap</w:t>
      </w:r>
      <w:proofErr w:type="spellEnd"/>
      <w:r w:rsidRPr="00E418E4">
        <w:rPr>
          <w:u w:val="single"/>
          <w:lang w:eastAsia="ko-KR"/>
        </w:rPr>
        <w:t xml:space="preserve"> and eRedCap UEs with NR NTN operating in FR1-NTN bands:</w:t>
      </w:r>
    </w:p>
    <w:p w14:paraId="0874138E" w14:textId="3B1CCEF5" w:rsidR="00E418E4" w:rsidRDefault="00E418E4" w:rsidP="009A1D43">
      <w:pPr>
        <w:pStyle w:val="0Maintext"/>
        <w:spacing w:after="240" w:afterAutospacing="0"/>
        <w:ind w:firstLine="0"/>
        <w:contextualSpacing/>
      </w:pPr>
      <w:r w:rsidRPr="00E418E4">
        <w:rPr>
          <w:b/>
        </w:rPr>
        <w:t>Proposal 2:</w:t>
      </w:r>
      <w:r w:rsidRPr="00E418E4">
        <w:t xml:space="preserve"> Based on the agreements achieved so far, the following parameters should be defined. Further details regarding the parameters' descriptions are yet to be finalized</w:t>
      </w:r>
      <w:r>
        <w:t>:</w:t>
      </w:r>
    </w:p>
    <w:p w14:paraId="1CB9CCD9" w14:textId="05617F8C" w:rsidR="00E418E4" w:rsidRDefault="00E418E4" w:rsidP="00E418E4">
      <w:pPr>
        <w:pStyle w:val="0Maintext"/>
        <w:numPr>
          <w:ilvl w:val="0"/>
          <w:numId w:val="29"/>
        </w:numPr>
        <w:spacing w:after="240" w:afterAutospacing="0"/>
        <w:contextualSpacing/>
      </w:pPr>
      <w:r w:rsidRPr="00E418E4">
        <w:t>ntnRedCapULoverridingDLcase3</w:t>
      </w:r>
    </w:p>
    <w:p w14:paraId="0866C8CC" w14:textId="370E9BF0" w:rsidR="00E418E4" w:rsidRDefault="00E418E4" w:rsidP="00E418E4">
      <w:pPr>
        <w:pStyle w:val="0Maintext"/>
        <w:numPr>
          <w:ilvl w:val="0"/>
          <w:numId w:val="29"/>
        </w:numPr>
        <w:spacing w:after="240" w:afterAutospacing="0"/>
        <w:contextualSpacing/>
      </w:pPr>
      <w:r w:rsidRPr="00E418E4">
        <w:t>ntnRedCapXLoverridingXLcase4</w:t>
      </w:r>
    </w:p>
    <w:p w14:paraId="46810BB9" w14:textId="7C1D2436" w:rsidR="00E418E4" w:rsidRDefault="00E418E4" w:rsidP="00E418E4">
      <w:pPr>
        <w:pStyle w:val="0Maintext"/>
        <w:spacing w:after="240" w:afterAutospacing="0"/>
        <w:ind w:firstLine="0"/>
        <w:contextualSpacing/>
      </w:pPr>
    </w:p>
    <w:p w14:paraId="0503309E" w14:textId="0D3EF944" w:rsidR="00E418E4" w:rsidRDefault="00E418E4" w:rsidP="00E418E4">
      <w:pPr>
        <w:pStyle w:val="0Maintext"/>
        <w:spacing w:after="240" w:afterAutospacing="0"/>
        <w:ind w:firstLine="0"/>
        <w:contextualSpacing/>
        <w:rPr>
          <w:u w:val="single"/>
          <w:lang w:eastAsia="ko-KR"/>
        </w:rPr>
      </w:pPr>
      <w:r w:rsidRPr="00E418E4">
        <w:rPr>
          <w:u w:val="single"/>
          <w:lang w:eastAsia="ko-KR"/>
        </w:rPr>
        <w:t>NR-NTN uplink capacity/throughput enhancement:</w:t>
      </w:r>
    </w:p>
    <w:p w14:paraId="1A412B31" w14:textId="77777777" w:rsidR="00E418E4" w:rsidRPr="006D5953" w:rsidRDefault="00E418E4" w:rsidP="00E418E4">
      <w:pPr>
        <w:pStyle w:val="0Maintext"/>
        <w:spacing w:after="240" w:afterAutospacing="0"/>
        <w:ind w:firstLine="0"/>
        <w:contextualSpacing/>
      </w:pPr>
      <w:r w:rsidRPr="009A1D43">
        <w:rPr>
          <w:b/>
          <w:lang w:val="en-US"/>
        </w:rPr>
        <w:t>Proposal 3</w:t>
      </w:r>
      <w:r>
        <w:rPr>
          <w:lang w:val="en-US"/>
        </w:rPr>
        <w:t xml:space="preserve">: </w:t>
      </w:r>
      <w:r w:rsidRPr="003717A1">
        <w:t xml:space="preserve">Higher layer parameters </w:t>
      </w:r>
      <w:r>
        <w:t xml:space="preserve">for </w:t>
      </w:r>
      <w:r w:rsidRPr="00FE05E2">
        <w:t>NR-NTN uplink capacity/throughput enhancement</w:t>
      </w:r>
      <w:r>
        <w:t xml:space="preserve"> </w:t>
      </w:r>
      <w:r w:rsidRPr="003717A1">
        <w:t xml:space="preserve">will </w:t>
      </w:r>
      <w:r>
        <w:t xml:space="preserve">be discussed when the design </w:t>
      </w:r>
      <w:r w:rsidRPr="003717A1">
        <w:t>is better defined</w:t>
      </w:r>
    </w:p>
    <w:p w14:paraId="74BE05CD" w14:textId="16315F2C" w:rsidR="003A35E9" w:rsidRDefault="003A35E9" w:rsidP="00A275DA">
      <w:pPr>
        <w:pStyle w:val="0Maintext"/>
        <w:spacing w:after="240" w:afterAutospacing="0"/>
        <w:ind w:firstLine="0"/>
        <w:contextualSpacing/>
        <w:rPr>
          <w:lang w:eastAsia="ko-KR"/>
        </w:rPr>
      </w:pPr>
      <w:bookmarkStart w:id="5" w:name="_GoBack"/>
      <w:bookmarkEnd w:id="5"/>
    </w:p>
    <w:p w14:paraId="3A6C5CA6" w14:textId="6F051932" w:rsidR="00E418E4" w:rsidRDefault="00E418E4">
      <w:pPr>
        <w:spacing w:after="0" w:line="240" w:lineRule="auto"/>
        <w:rPr>
          <w:rFonts w:eastAsia="Malgun Gothic" w:cs="Batang"/>
          <w:b/>
          <w:lang w:eastAsia="ko-KR"/>
        </w:rPr>
      </w:pPr>
      <w:r>
        <w:rPr>
          <w:b/>
          <w:lang w:eastAsia="ko-KR"/>
        </w:rPr>
        <w:br w:type="page"/>
      </w:r>
    </w:p>
    <w:p w14:paraId="31A475EC" w14:textId="77777777" w:rsidR="003A35E9" w:rsidRDefault="003A35E9" w:rsidP="008B0873">
      <w:pPr>
        <w:pStyle w:val="0Maintext"/>
        <w:spacing w:after="240" w:afterAutospacing="0"/>
        <w:contextualSpacing/>
        <w:rPr>
          <w:lang w:eastAsia="ko-KR"/>
        </w:rPr>
      </w:pPr>
    </w:p>
    <w:bookmarkEnd w:id="2"/>
    <w:bookmarkEnd w:id="4"/>
    <w:p w14:paraId="032A9E8A" w14:textId="17C751B2" w:rsidR="009B6453" w:rsidRPr="00955133" w:rsidRDefault="00122417" w:rsidP="00C453DF">
      <w:pPr>
        <w:pStyle w:val="Titre1"/>
        <w:spacing w:before="0" w:after="60"/>
        <w:ind w:left="432" w:hanging="432"/>
        <w:jc w:val="both"/>
        <w:rPr>
          <w:rFonts w:cs="Arial"/>
          <w:sz w:val="32"/>
          <w:lang w:val="en-US" w:eastAsia="ko-KR"/>
        </w:rPr>
      </w:pPr>
      <w:r w:rsidRPr="00955133">
        <w:rPr>
          <w:rFonts w:cs="Arial"/>
          <w:sz w:val="32"/>
          <w:lang w:val="en-US" w:eastAsia="ko-KR"/>
        </w:rPr>
        <w:t>References</w:t>
      </w:r>
    </w:p>
    <w:p w14:paraId="5AC1E6E4" w14:textId="7EFB66C9" w:rsidR="009D6DCF" w:rsidRDefault="009D6DCF" w:rsidP="008E03CA">
      <w:pPr>
        <w:pStyle w:val="Paragraphedeliste"/>
        <w:numPr>
          <w:ilvl w:val="0"/>
          <w:numId w:val="14"/>
        </w:numPr>
      </w:pPr>
      <w:r w:rsidRPr="009D6DCF">
        <w:t xml:space="preserve">RP-243300 Rel-19 WID NR NTN phase 3, Thales, CATT, 3GPP TSG RAN Meeting #106, Madrid, Spain, </w:t>
      </w:r>
      <w:proofErr w:type="spellStart"/>
      <w:r w:rsidRPr="009D6DCF">
        <w:t>December</w:t>
      </w:r>
      <w:proofErr w:type="spellEnd"/>
      <w:r w:rsidRPr="009D6DCF">
        <w:t xml:space="preserve"> 9-12, 2024</w:t>
      </w:r>
    </w:p>
    <w:p w14:paraId="0DA320CA" w14:textId="436BE7F6" w:rsidR="0057654B" w:rsidRPr="000720F2" w:rsidRDefault="0057654B" w:rsidP="008E03CA">
      <w:pPr>
        <w:pStyle w:val="Paragraphedeliste"/>
        <w:numPr>
          <w:ilvl w:val="0"/>
          <w:numId w:val="14"/>
        </w:numPr>
      </w:pPr>
      <w:r w:rsidRPr="0057654B">
        <w:t>R1-2501842</w:t>
      </w:r>
      <w:r w:rsidRPr="0057654B">
        <w:rPr>
          <w:lang w:val="en-US"/>
        </w:rPr>
        <w:t>, RAN1 agreements for NR NTN Phase 3 up to RAN1#120</w:t>
      </w:r>
      <w:r>
        <w:rPr>
          <w:lang w:val="en-US"/>
        </w:rPr>
        <w:t xml:space="preserve">, </w:t>
      </w:r>
      <w:r w:rsidRPr="0057654B">
        <w:rPr>
          <w:lang w:val="en-US"/>
        </w:rPr>
        <w:t>3GPP TSG RAN WG1#120-bis</w:t>
      </w:r>
      <w:r>
        <w:rPr>
          <w:lang w:val="en-US"/>
        </w:rPr>
        <w:t xml:space="preserve">, </w:t>
      </w:r>
      <w:r w:rsidRPr="0057654B">
        <w:rPr>
          <w:lang w:val="en-US"/>
        </w:rPr>
        <w:t>Wuhan, China, April 7th – 11th, 2025</w:t>
      </w:r>
    </w:p>
    <w:p w14:paraId="5BC3AE3D"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#116, </w:t>
      </w:r>
      <w:proofErr w:type="spellStart"/>
      <w:r w:rsidRPr="009D6DCF">
        <w:t>Athens</w:t>
      </w:r>
      <w:proofErr w:type="spellEnd"/>
      <w:r w:rsidRPr="009D6DCF">
        <w:t xml:space="preserve">, </w:t>
      </w:r>
      <w:proofErr w:type="spellStart"/>
      <w:r w:rsidRPr="009D6DCF">
        <w:t>Greece</w:t>
      </w:r>
      <w:proofErr w:type="spellEnd"/>
      <w:r w:rsidRPr="009D6DCF">
        <w:t xml:space="preserve">, </w:t>
      </w:r>
      <w:proofErr w:type="spellStart"/>
      <w:r w:rsidRPr="009D6DCF">
        <w:t>February</w:t>
      </w:r>
      <w:proofErr w:type="spellEnd"/>
      <w:r w:rsidRPr="009D6DCF">
        <w:t xml:space="preserve"> 26th – March 1st, 2024</w:t>
      </w:r>
    </w:p>
    <w:p w14:paraId="7D004C33"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#116-bis, Changsha, Hunan Province, China, April 15th – 19th, 2024</w:t>
      </w:r>
    </w:p>
    <w:p w14:paraId="0F782BE7"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#117, Fukuoka City, Fukuoka, </w:t>
      </w:r>
      <w:proofErr w:type="spellStart"/>
      <w:r w:rsidRPr="009D6DCF">
        <w:t>Japan</w:t>
      </w:r>
      <w:proofErr w:type="spellEnd"/>
      <w:r w:rsidRPr="009D6DCF">
        <w:t>, May 20th – 24th, 2024</w:t>
      </w:r>
    </w:p>
    <w:p w14:paraId="1038FBA3"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#118, Maastricht, NL, August 19th – 23rd, 2024</w:t>
      </w:r>
    </w:p>
    <w:p w14:paraId="751A50F6"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#118bis, Hefei, China, </w:t>
      </w:r>
      <w:proofErr w:type="spellStart"/>
      <w:r w:rsidRPr="009D6DCF">
        <w:t>October</w:t>
      </w:r>
      <w:proofErr w:type="spellEnd"/>
      <w:r w:rsidRPr="009D6DCF">
        <w:t xml:space="preserve"> 14th – 18th, 2024</w:t>
      </w:r>
    </w:p>
    <w:p w14:paraId="0DA0E8C7"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#119, Orlando, US, </w:t>
      </w:r>
      <w:proofErr w:type="spellStart"/>
      <w:r w:rsidRPr="009D6DCF">
        <w:t>November</w:t>
      </w:r>
      <w:proofErr w:type="spellEnd"/>
      <w:r w:rsidRPr="009D6DCF">
        <w:t xml:space="preserve"> 18th – 22nd, 2024</w:t>
      </w:r>
    </w:p>
    <w:p w14:paraId="710ED40F"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#120, </w:t>
      </w:r>
      <w:proofErr w:type="spellStart"/>
      <w:r w:rsidRPr="009D6DCF">
        <w:t>Athens</w:t>
      </w:r>
      <w:proofErr w:type="spellEnd"/>
      <w:r w:rsidRPr="009D6DCF">
        <w:t xml:space="preserve">, </w:t>
      </w:r>
      <w:proofErr w:type="spellStart"/>
      <w:r w:rsidRPr="009D6DCF">
        <w:t>Greece</w:t>
      </w:r>
      <w:proofErr w:type="spellEnd"/>
      <w:r w:rsidRPr="009D6DCF">
        <w:t xml:space="preserve">, </w:t>
      </w:r>
      <w:proofErr w:type="spellStart"/>
      <w:r w:rsidRPr="009D6DCF">
        <w:t>February</w:t>
      </w:r>
      <w:proofErr w:type="spellEnd"/>
      <w:r w:rsidRPr="009D6DCF">
        <w:t xml:space="preserve"> 17th – 21st, 2025</w:t>
      </w:r>
    </w:p>
    <w:p w14:paraId="7BE1A897" w14:textId="1DE64433" w:rsidR="003517FB" w:rsidRPr="00B6607B" w:rsidRDefault="003517FB" w:rsidP="00B6607B">
      <w:pPr>
        <w:rPr>
          <w:rFonts w:eastAsia="Times New Roman"/>
          <w:lang w:eastAsia="ar-SA"/>
        </w:rPr>
      </w:pPr>
    </w:p>
    <w:sectPr w:rsidR="003517FB" w:rsidRPr="00B6607B" w:rsidSect="009D1821">
      <w:headerReference w:type="even" r:id="rId8"/>
      <w:footerReference w:type="default" r:id="rId9"/>
      <w:footnotePr>
        <w:numRestart w:val="eachSect"/>
      </w:footnotePr>
      <w:pgSz w:w="23808" w:h="16840" w:orient="landscape" w:code="8"/>
      <w:pgMar w:top="1077" w:right="1440" w:bottom="1077" w:left="144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F0AF1" w14:textId="77777777" w:rsidR="002678A3" w:rsidRDefault="002678A3">
      <w:r>
        <w:separator/>
      </w:r>
    </w:p>
  </w:endnote>
  <w:endnote w:type="continuationSeparator" w:id="0">
    <w:p w14:paraId="55DDBF31" w14:textId="77777777" w:rsidR="002678A3" w:rsidRDefault="0026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5BD83284" w:rsidR="00FD3A30" w:rsidRDefault="00FD3A30">
    <w:pPr>
      <w:pStyle w:val="En-tte"/>
      <w:tabs>
        <w:tab w:val="right" w:pos="9639"/>
      </w:tabs>
      <w:jc w:val="center"/>
    </w:pPr>
    <w:r>
      <w:t xml:space="preserve">Page </w:t>
    </w:r>
    <w:r w:rsidRPr="00B0165F">
      <w:rPr>
        <w:rStyle w:val="Numrodepage"/>
        <w:i/>
        <w:color w:val="auto"/>
      </w:rPr>
      <w:fldChar w:fldCharType="begin"/>
    </w:r>
    <w:r w:rsidRPr="00B0165F">
      <w:rPr>
        <w:rStyle w:val="Numrodepage"/>
        <w:i/>
        <w:color w:val="auto"/>
      </w:rPr>
      <w:instrText xml:space="preserve"> PAGE </w:instrText>
    </w:r>
    <w:r w:rsidRPr="00B0165F">
      <w:rPr>
        <w:rStyle w:val="Numrodepage"/>
        <w:i/>
        <w:color w:val="auto"/>
      </w:rPr>
      <w:fldChar w:fldCharType="separate"/>
    </w:r>
    <w:r w:rsidR="00E418E4">
      <w:rPr>
        <w:rStyle w:val="Numrodepage"/>
        <w:i/>
        <w:color w:val="auto"/>
      </w:rPr>
      <w:t>2</w:t>
    </w:r>
    <w:r w:rsidRPr="00B0165F">
      <w:rPr>
        <w:rStyle w:val="Numrodepage"/>
        <w:i/>
        <w:color w:val="auto"/>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6EF22" w14:textId="77777777" w:rsidR="002678A3" w:rsidRDefault="002678A3">
      <w:r>
        <w:separator/>
      </w:r>
    </w:p>
  </w:footnote>
  <w:footnote w:type="continuationSeparator" w:id="0">
    <w:p w14:paraId="1CA771F1" w14:textId="77777777" w:rsidR="002678A3" w:rsidRDefault="002678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FD3A30" w:rsidRDefault="00FD3A3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FE"/>
    <w:multiLevelType w:val="singleLevel"/>
    <w:tmpl w:val="FFFFFFFF"/>
    <w:lvl w:ilvl="0">
      <w:numFmt w:val="decimal"/>
      <w:pStyle w:val="textintend1"/>
      <w:lvlText w:val="*"/>
      <w:lvlJc w:val="left"/>
    </w:lvl>
  </w:abstractNum>
  <w:abstractNum w:abstractNumId="6"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7" w15:restartNumberingAfterBreak="0">
    <w:nsid w:val="0CB365EF"/>
    <w:multiLevelType w:val="hybridMultilevel"/>
    <w:tmpl w:val="8C762EA4"/>
    <w:lvl w:ilvl="0" w:tplc="E5A45F98">
      <w:start w:val="1"/>
      <w:numFmt w:val="decimal"/>
      <w:lvlText w:val="[%1]"/>
      <w:lvlJc w:val="left"/>
      <w:pPr>
        <w:ind w:left="360" w:hanging="360"/>
      </w:pPr>
      <w:rPr>
        <w:rFonts w:ascii="Times New Roman" w:hAnsi="Times New Roman" w:hint="default"/>
        <w:b w:val="0"/>
        <w:i w:val="0"/>
        <w:sz w:val="21"/>
        <w:szCs w:val="22"/>
        <w:lang w:val="en-G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116B73BA"/>
    <w:multiLevelType w:val="multilevel"/>
    <w:tmpl w:val="116B73BA"/>
    <w:lvl w:ilvl="0">
      <w:start w:val="1"/>
      <w:numFmt w:val="decimal"/>
      <w:pStyle w:val="Listenumros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Titre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Titre3"/>
      <w:lvlText w:val="%1.%2.%3"/>
      <w:lvlJc w:val="left"/>
      <w:pPr>
        <w:tabs>
          <w:tab w:val="num" w:pos="294"/>
        </w:tabs>
        <w:ind w:left="294" w:hanging="720"/>
      </w:pPr>
    </w:lvl>
    <w:lvl w:ilvl="3">
      <w:start w:val="1"/>
      <w:numFmt w:val="decimal"/>
      <w:pStyle w:val="Titre4"/>
      <w:lvlText w:val="%1.%2.%3.%4"/>
      <w:lvlJc w:val="left"/>
      <w:pPr>
        <w:tabs>
          <w:tab w:val="num" w:pos="438"/>
        </w:tabs>
        <w:ind w:left="438" w:hanging="864"/>
      </w:pPr>
    </w:lvl>
    <w:lvl w:ilvl="4">
      <w:start w:val="1"/>
      <w:numFmt w:val="decimal"/>
      <w:pStyle w:val="Titre5"/>
      <w:lvlText w:val="%1.%2.%3.%4.%5"/>
      <w:lvlJc w:val="left"/>
      <w:pPr>
        <w:tabs>
          <w:tab w:val="num" w:pos="582"/>
        </w:tabs>
        <w:ind w:left="582" w:hanging="1008"/>
      </w:pPr>
    </w:lvl>
    <w:lvl w:ilvl="5">
      <w:start w:val="1"/>
      <w:numFmt w:val="decimal"/>
      <w:pStyle w:val="Titre6"/>
      <w:lvlText w:val="%1.%2.%3.%4.%5.%6"/>
      <w:lvlJc w:val="left"/>
      <w:pPr>
        <w:tabs>
          <w:tab w:val="num" w:pos="726"/>
        </w:tabs>
        <w:ind w:left="726" w:hanging="1152"/>
      </w:pPr>
    </w:lvl>
    <w:lvl w:ilvl="6">
      <w:start w:val="1"/>
      <w:numFmt w:val="decimal"/>
      <w:pStyle w:val="Titre7"/>
      <w:lvlText w:val="%1.%2.%3.%4.%5.%6.%7"/>
      <w:lvlJc w:val="left"/>
      <w:pPr>
        <w:tabs>
          <w:tab w:val="num" w:pos="870"/>
        </w:tabs>
        <w:ind w:left="870" w:hanging="1296"/>
      </w:pPr>
    </w:lvl>
    <w:lvl w:ilvl="7">
      <w:start w:val="1"/>
      <w:numFmt w:val="decimal"/>
      <w:pStyle w:val="Titre8"/>
      <w:lvlText w:val="%1.%2.%3.%4.%5.%6.%7.%8"/>
      <w:lvlJc w:val="left"/>
      <w:pPr>
        <w:tabs>
          <w:tab w:val="num" w:pos="1014"/>
        </w:tabs>
        <w:ind w:left="1014" w:hanging="1440"/>
      </w:pPr>
    </w:lvl>
    <w:lvl w:ilvl="8">
      <w:start w:val="1"/>
      <w:numFmt w:val="decimal"/>
      <w:pStyle w:val="Titre9"/>
      <w:lvlText w:val="%1.%2.%3.%4.%5.%6.%7.%8.%9"/>
      <w:lvlJc w:val="left"/>
      <w:pPr>
        <w:tabs>
          <w:tab w:val="num" w:pos="1158"/>
        </w:tabs>
        <w:ind w:left="1158" w:hanging="1584"/>
      </w:pPr>
    </w:lvl>
  </w:abstractNum>
  <w:abstractNum w:abstractNumId="1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Titre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FD92F9A"/>
    <w:multiLevelType w:val="hybridMultilevel"/>
    <w:tmpl w:val="EC16C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5D706DAB"/>
    <w:multiLevelType w:val="hybridMultilevel"/>
    <w:tmpl w:val="1998647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13"/>
  </w:num>
  <w:num w:numId="4">
    <w:abstractNumId w:val="20"/>
  </w:num>
  <w:num w:numId="5">
    <w:abstractNumId w:val="10"/>
  </w:num>
  <w:num w:numId="6">
    <w:abstractNumId w:val="24"/>
  </w:num>
  <w:num w:numId="7">
    <w:abstractNumId w:val="14"/>
  </w:num>
  <w:num w:numId="8">
    <w:abstractNumId w:val="5"/>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22"/>
  </w:num>
  <w:num w:numId="11">
    <w:abstractNumId w:val="8"/>
  </w:num>
  <w:num w:numId="12">
    <w:abstractNumId w:val="18"/>
  </w:num>
  <w:num w:numId="13">
    <w:abstractNumId w:val="19"/>
  </w:num>
  <w:num w:numId="14">
    <w:abstractNumId w:val="7"/>
  </w:num>
  <w:num w:numId="15">
    <w:abstractNumId w:val="25"/>
  </w:num>
  <w:num w:numId="16">
    <w:abstractNumId w:val="21"/>
  </w:num>
  <w:num w:numId="17">
    <w:abstractNumId w:val="2"/>
  </w:num>
  <w:num w:numId="18">
    <w:abstractNumId w:val="1"/>
  </w:num>
  <w:num w:numId="19">
    <w:abstractNumId w:val="3"/>
  </w:num>
  <w:num w:numId="20">
    <w:abstractNumId w:val="26"/>
  </w:num>
  <w:num w:numId="21">
    <w:abstractNumId w:val="4"/>
  </w:num>
  <w:num w:numId="22">
    <w:abstractNumId w:val="0"/>
  </w:num>
  <w:num w:numId="23">
    <w:abstractNumId w:val="12"/>
  </w:num>
  <w:num w:numId="24">
    <w:abstractNumId w:val="9"/>
  </w:num>
  <w:num w:numId="25">
    <w:abstractNumId w:val="15"/>
  </w:num>
  <w:num w:numId="26">
    <w:abstractNumId w:val="23"/>
  </w:num>
  <w:num w:numId="27">
    <w:abstractNumId w:val="28"/>
  </w:num>
  <w:num w:numId="28">
    <w:abstractNumId w:val="10"/>
  </w:num>
  <w:num w:numId="2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153"/>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6F6"/>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3A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35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0E5"/>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3F35"/>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217"/>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4D0"/>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A15"/>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ABB"/>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668"/>
    <w:rsid w:val="000508D1"/>
    <w:rsid w:val="00050B15"/>
    <w:rsid w:val="00050B72"/>
    <w:rsid w:val="00050C36"/>
    <w:rsid w:val="00050DED"/>
    <w:rsid w:val="00050E1A"/>
    <w:rsid w:val="00050EFE"/>
    <w:rsid w:val="00050F6F"/>
    <w:rsid w:val="000510C5"/>
    <w:rsid w:val="000510CC"/>
    <w:rsid w:val="000516B8"/>
    <w:rsid w:val="00051700"/>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DF0"/>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C19"/>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C5A"/>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27"/>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0F2"/>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4"/>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BAD"/>
    <w:rsid w:val="000B4DB3"/>
    <w:rsid w:val="000B4E75"/>
    <w:rsid w:val="000B4F03"/>
    <w:rsid w:val="000B4F5D"/>
    <w:rsid w:val="000B5167"/>
    <w:rsid w:val="000B5295"/>
    <w:rsid w:val="000B537C"/>
    <w:rsid w:val="000B53DE"/>
    <w:rsid w:val="000B54AE"/>
    <w:rsid w:val="000B568C"/>
    <w:rsid w:val="000B56A9"/>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5DF"/>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5C"/>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754"/>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50E"/>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1DFD"/>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C3"/>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A3B"/>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29F"/>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19"/>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5E57"/>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972"/>
    <w:rsid w:val="00151A64"/>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256"/>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89D"/>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860"/>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D5"/>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94C"/>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14"/>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09"/>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56"/>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02"/>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100"/>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2E77"/>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10"/>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462"/>
    <w:rsid w:val="002045AA"/>
    <w:rsid w:val="00204814"/>
    <w:rsid w:val="00204939"/>
    <w:rsid w:val="00204A83"/>
    <w:rsid w:val="00204C92"/>
    <w:rsid w:val="00205135"/>
    <w:rsid w:val="0020520A"/>
    <w:rsid w:val="002053CC"/>
    <w:rsid w:val="002055B9"/>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439"/>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66C"/>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E93"/>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2F"/>
    <w:rsid w:val="002536E5"/>
    <w:rsid w:val="00253743"/>
    <w:rsid w:val="00253920"/>
    <w:rsid w:val="00253944"/>
    <w:rsid w:val="00253AF0"/>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B18"/>
    <w:rsid w:val="00255C47"/>
    <w:rsid w:val="00255D2F"/>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8A3"/>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0F08"/>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4B0"/>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7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9E"/>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01"/>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97"/>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9E9"/>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C82"/>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C86"/>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30"/>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9C"/>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2F7C6F"/>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2A2"/>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583"/>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3C"/>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9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9E2"/>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A1"/>
    <w:rsid w:val="003717F5"/>
    <w:rsid w:val="003718A6"/>
    <w:rsid w:val="0037192F"/>
    <w:rsid w:val="0037193C"/>
    <w:rsid w:val="00371E61"/>
    <w:rsid w:val="0037215A"/>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3FFB"/>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0D4"/>
    <w:rsid w:val="00380175"/>
    <w:rsid w:val="003801B8"/>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AE2"/>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D41"/>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C24"/>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E1"/>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5E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89"/>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5C3"/>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497"/>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1FCE"/>
    <w:rsid w:val="003D2212"/>
    <w:rsid w:val="003D2356"/>
    <w:rsid w:val="003D2607"/>
    <w:rsid w:val="003D2792"/>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6B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448"/>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9DE"/>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4BA"/>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29"/>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9C1"/>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373"/>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1B9"/>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53B"/>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8F5"/>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7E5"/>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DD5"/>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563"/>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AD1"/>
    <w:rsid w:val="004E4BD7"/>
    <w:rsid w:val="004E4C07"/>
    <w:rsid w:val="004E4D45"/>
    <w:rsid w:val="004E4DB3"/>
    <w:rsid w:val="004E4F8B"/>
    <w:rsid w:val="004E51B6"/>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981"/>
    <w:rsid w:val="004E7BC6"/>
    <w:rsid w:val="004E7BE2"/>
    <w:rsid w:val="004E7C21"/>
    <w:rsid w:val="004E7C8F"/>
    <w:rsid w:val="004E7EC3"/>
    <w:rsid w:val="004F0082"/>
    <w:rsid w:val="004F00C4"/>
    <w:rsid w:val="004F0197"/>
    <w:rsid w:val="004F06EC"/>
    <w:rsid w:val="004F07D9"/>
    <w:rsid w:val="004F0800"/>
    <w:rsid w:val="004F0886"/>
    <w:rsid w:val="004F0E1E"/>
    <w:rsid w:val="004F0E9F"/>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4C1"/>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9D2"/>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4B4"/>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17F4E"/>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9E1"/>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5A"/>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95A"/>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4FE1"/>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03E"/>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74"/>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560"/>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8BF"/>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4B"/>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407"/>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7B3"/>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8E5"/>
    <w:rsid w:val="005A3AAC"/>
    <w:rsid w:val="005A3AD0"/>
    <w:rsid w:val="005A3B9C"/>
    <w:rsid w:val="005A3FC6"/>
    <w:rsid w:val="005A407B"/>
    <w:rsid w:val="005A4254"/>
    <w:rsid w:val="005A4335"/>
    <w:rsid w:val="005A4469"/>
    <w:rsid w:val="005A447B"/>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85"/>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82"/>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4EAD"/>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1C7"/>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6C"/>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D4D"/>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046"/>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63"/>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92D"/>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4A1"/>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4AB"/>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BF2"/>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0BE"/>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D95"/>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175"/>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0BB"/>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61"/>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34"/>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43"/>
    <w:rsid w:val="0071697D"/>
    <w:rsid w:val="007169A7"/>
    <w:rsid w:val="00716E9C"/>
    <w:rsid w:val="00716F2D"/>
    <w:rsid w:val="00716F5D"/>
    <w:rsid w:val="00716FAA"/>
    <w:rsid w:val="0071716F"/>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2B"/>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CC5"/>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7F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17"/>
    <w:rsid w:val="007624C3"/>
    <w:rsid w:val="00762565"/>
    <w:rsid w:val="00762663"/>
    <w:rsid w:val="007626C4"/>
    <w:rsid w:val="00762707"/>
    <w:rsid w:val="00762CB1"/>
    <w:rsid w:val="00762CDE"/>
    <w:rsid w:val="00762E8E"/>
    <w:rsid w:val="00762FAA"/>
    <w:rsid w:val="00762FAC"/>
    <w:rsid w:val="007630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53"/>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1"/>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EFB"/>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A24"/>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8C2"/>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6CA"/>
    <w:rsid w:val="007C784E"/>
    <w:rsid w:val="007C79F1"/>
    <w:rsid w:val="007C7A71"/>
    <w:rsid w:val="007C7B95"/>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699"/>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C5"/>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14"/>
    <w:rsid w:val="00804DE2"/>
    <w:rsid w:val="00804DF1"/>
    <w:rsid w:val="00804DFA"/>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7E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8E"/>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0D2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1D"/>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98"/>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5C"/>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73"/>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3CA"/>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C5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2BE"/>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77"/>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CEC"/>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CC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2A8"/>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76E"/>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EE"/>
    <w:rsid w:val="00950422"/>
    <w:rsid w:val="009504A5"/>
    <w:rsid w:val="0095053A"/>
    <w:rsid w:val="00950875"/>
    <w:rsid w:val="009509DC"/>
    <w:rsid w:val="00950E37"/>
    <w:rsid w:val="0095108B"/>
    <w:rsid w:val="00951200"/>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9DD"/>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C8"/>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17E"/>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59"/>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1C1"/>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822"/>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AC8"/>
    <w:rsid w:val="009A0D2F"/>
    <w:rsid w:val="009A0DC1"/>
    <w:rsid w:val="009A10E6"/>
    <w:rsid w:val="009A12C7"/>
    <w:rsid w:val="009A159B"/>
    <w:rsid w:val="009A1BDC"/>
    <w:rsid w:val="009A1C30"/>
    <w:rsid w:val="009A1CD2"/>
    <w:rsid w:val="009A1D43"/>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D00"/>
    <w:rsid w:val="009A3EB8"/>
    <w:rsid w:val="009A3FF8"/>
    <w:rsid w:val="009A405C"/>
    <w:rsid w:val="009A40BA"/>
    <w:rsid w:val="009A4161"/>
    <w:rsid w:val="009A4262"/>
    <w:rsid w:val="009A4263"/>
    <w:rsid w:val="009A43EE"/>
    <w:rsid w:val="009A441E"/>
    <w:rsid w:val="009A4479"/>
    <w:rsid w:val="009A4559"/>
    <w:rsid w:val="009A473F"/>
    <w:rsid w:val="009A478E"/>
    <w:rsid w:val="009A48EB"/>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62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13"/>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A89"/>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11"/>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4D"/>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821"/>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CF2"/>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DCF"/>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03"/>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807"/>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807"/>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3D"/>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5DA"/>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2E"/>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D9"/>
    <w:rsid w:val="00A43FFE"/>
    <w:rsid w:val="00A4411B"/>
    <w:rsid w:val="00A44431"/>
    <w:rsid w:val="00A44723"/>
    <w:rsid w:val="00A44A41"/>
    <w:rsid w:val="00A44DCA"/>
    <w:rsid w:val="00A44DE7"/>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19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2FB5"/>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8E"/>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4A9"/>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8E6"/>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173"/>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1FD3"/>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A31"/>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63C"/>
    <w:rsid w:val="00B279D6"/>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D60"/>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948"/>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2DE"/>
    <w:rsid w:val="00B52412"/>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3B"/>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07B"/>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BB"/>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0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BD3"/>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06"/>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1A"/>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3EC0"/>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40"/>
    <w:rsid w:val="00BE5EA0"/>
    <w:rsid w:val="00BE616E"/>
    <w:rsid w:val="00BE61A9"/>
    <w:rsid w:val="00BE65F9"/>
    <w:rsid w:val="00BE6680"/>
    <w:rsid w:val="00BE66F3"/>
    <w:rsid w:val="00BE6711"/>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5FA"/>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BF7F6D"/>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BA7"/>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30"/>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88B"/>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2FB"/>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8A"/>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33"/>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56"/>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7E0"/>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84"/>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E0F"/>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64C"/>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01"/>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28"/>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AE3"/>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A"/>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A25"/>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0E4"/>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892"/>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61"/>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73"/>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8D"/>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0EC"/>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DF5"/>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43"/>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3F"/>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66D"/>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8E4"/>
    <w:rsid w:val="00E41989"/>
    <w:rsid w:val="00E419A3"/>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B77"/>
    <w:rsid w:val="00E45C9D"/>
    <w:rsid w:val="00E45DB0"/>
    <w:rsid w:val="00E45F9D"/>
    <w:rsid w:val="00E464CD"/>
    <w:rsid w:val="00E466CD"/>
    <w:rsid w:val="00E46725"/>
    <w:rsid w:val="00E4681E"/>
    <w:rsid w:val="00E46A23"/>
    <w:rsid w:val="00E46C0C"/>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AAD"/>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15D"/>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1FC"/>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5D7"/>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A2D"/>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0D7"/>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8A5"/>
    <w:rsid w:val="00F1633F"/>
    <w:rsid w:val="00F1672E"/>
    <w:rsid w:val="00F16826"/>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3A"/>
    <w:rsid w:val="00F25B6E"/>
    <w:rsid w:val="00F25C74"/>
    <w:rsid w:val="00F25CDB"/>
    <w:rsid w:val="00F25D5B"/>
    <w:rsid w:val="00F25E8D"/>
    <w:rsid w:val="00F2607C"/>
    <w:rsid w:val="00F26096"/>
    <w:rsid w:val="00F260D9"/>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6F5"/>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1D3"/>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026"/>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AD1"/>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258"/>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3C0"/>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6B"/>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A30"/>
    <w:rsid w:val="00FD3F10"/>
    <w:rsid w:val="00FD3F12"/>
    <w:rsid w:val="00FD411B"/>
    <w:rsid w:val="00FD4221"/>
    <w:rsid w:val="00FD431F"/>
    <w:rsid w:val="00FD4335"/>
    <w:rsid w:val="00FD4501"/>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762"/>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5E2"/>
    <w:rsid w:val="00FE0817"/>
    <w:rsid w:val="00FE0929"/>
    <w:rsid w:val="00FE0AC1"/>
    <w:rsid w:val="00FE0B0A"/>
    <w:rsid w:val="00FE0ED8"/>
    <w:rsid w:val="00FE10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56F"/>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A64"/>
    <w:pPr>
      <w:spacing w:after="180" w:line="276" w:lineRule="auto"/>
    </w:pPr>
    <w:rPr>
      <w:rFonts w:ascii="Times New Roman" w:hAnsi="Times New Roman"/>
      <w:lang w:eastAsia="en-US"/>
    </w:rPr>
  </w:style>
  <w:style w:type="paragraph" w:styleId="Titre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Titre2">
    <w:name w:val="heading 2"/>
    <w:aliases w:val="H2,h2,Head2A,2,UNDERRUBRIK 1-2,DO NOT USE_h2,h21,H2 Char,h2 Char,标题 2,Header 2,Header2,22,heading2,2nd level,H21,H22,H23,H24,H25,R2,E2,†berschrift 2,õberschrift 2"/>
    <w:basedOn w:val="Titre1"/>
    <w:next w:val="Normal"/>
    <w:link w:val="Titre2Car"/>
    <w:uiPriority w:val="9"/>
    <w:qFormat/>
    <w:rsid w:val="000D535C"/>
    <w:pPr>
      <w:numPr>
        <w:ilvl w:val="1"/>
        <w:numId w:val="5"/>
      </w:numPr>
      <w:pBdr>
        <w:top w:val="none" w:sz="0" w:space="0" w:color="auto"/>
      </w:pBdr>
      <w:spacing w:before="180"/>
      <w:outlineLvl w:val="1"/>
    </w:pPr>
    <w:rPr>
      <w:rFonts w:eastAsia="SimSun"/>
      <w:kern w:val="2"/>
      <w:sz w:val="32"/>
    </w:rPr>
  </w:style>
  <w:style w:type="paragraph" w:styleId="Titre3">
    <w:name w:val="heading 3"/>
    <w:aliases w:val="h3,H3,Underrubrik2,no break,Memo Heading 3,0H,l3,list 3,Head 3,1.1.1,3rd level,Major Section Sub Section,PA Minor Section,Head3,Level 3 Head,31,32,33,311,321,34,312,322,35,313,323,36,314,324,37,315,325,38,316,326,39,317,327,310,318,328,331,341"/>
    <w:basedOn w:val="Titre2"/>
    <w:next w:val="Normal"/>
    <w:qFormat/>
    <w:pPr>
      <w:numPr>
        <w:ilvl w:val="2"/>
        <w:numId w:val="1"/>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uiPriority w:val="9"/>
    <w:qFormat/>
    <w:pPr>
      <w:numPr>
        <w:ilvl w:val="3"/>
      </w:numPr>
      <w:outlineLvl w:val="3"/>
    </w:pPr>
    <w:rPr>
      <w:sz w:val="24"/>
    </w:rPr>
  </w:style>
  <w:style w:type="paragraph" w:styleId="Titre5">
    <w:name w:val="heading 5"/>
    <w:basedOn w:val="Titre4"/>
    <w:next w:val="Normal"/>
    <w:uiPriority w:val="9"/>
    <w:qFormat/>
    <w:pPr>
      <w:numPr>
        <w:ilvl w:val="4"/>
      </w:numPr>
      <w:outlineLvl w:val="4"/>
    </w:pPr>
    <w:rPr>
      <w:sz w:val="22"/>
    </w:rPr>
  </w:style>
  <w:style w:type="paragraph" w:styleId="Titre6">
    <w:name w:val="heading 6"/>
    <w:basedOn w:val="H6"/>
    <w:next w:val="Normal"/>
    <w:uiPriority w:val="9"/>
    <w:qFormat/>
    <w:pPr>
      <w:numPr>
        <w:ilvl w:val="5"/>
      </w:numPr>
      <w:outlineLvl w:val="5"/>
    </w:pPr>
  </w:style>
  <w:style w:type="paragraph" w:styleId="Titre7">
    <w:name w:val="heading 7"/>
    <w:basedOn w:val="H6"/>
    <w:next w:val="Normal"/>
    <w:uiPriority w:val="9"/>
    <w:qFormat/>
    <w:pPr>
      <w:numPr>
        <w:ilvl w:val="6"/>
      </w:numPr>
      <w:outlineLvl w:val="6"/>
    </w:pPr>
  </w:style>
  <w:style w:type="paragraph" w:styleId="Titre8">
    <w:name w:val="heading 8"/>
    <w:basedOn w:val="Titre1"/>
    <w:next w:val="Normal"/>
    <w:uiPriority w:val="9"/>
    <w:qFormat/>
    <w:pPr>
      <w:numPr>
        <w:ilvl w:val="7"/>
        <w:numId w:val="1"/>
      </w:numPr>
      <w:outlineLvl w:val="7"/>
    </w:pPr>
  </w:style>
  <w:style w:type="paragraph" w:styleId="Titre9">
    <w:name w:val="heading 9"/>
    <w:basedOn w:val="Titre8"/>
    <w:next w:val="Normal"/>
    <w:uiPriority w:val="9"/>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spacing w:after="180" w:line="276" w:lineRule="auto"/>
    </w:pPr>
    <w:rPr>
      <w:rFonts w:ascii="Arial" w:hAnsi="Arial"/>
      <w:b/>
      <w:noProof/>
      <w:sz w:val="18"/>
      <w:lang w:val="en-GB" w:eastAsia="en-US"/>
    </w:rPr>
  </w:style>
  <w:style w:type="character" w:styleId="Appelnotedebasdep">
    <w:name w:val="footnote reference"/>
    <w:semiHidden/>
    <w:rPr>
      <w:rFonts w:ascii="Arial" w:eastAsia="SimSun" w:hAnsi="Arial" w:cs="Arial"/>
      <w:b/>
      <w:color w:val="0000FF"/>
      <w:kern w:val="2"/>
      <w:position w:val="6"/>
      <w:sz w:val="16"/>
      <w:lang w:val="en-US" w:eastAsia="zh-CN" w:bidi="ar-SA"/>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link w:val="Liste2C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uiPriority w:val="99"/>
    <w:qFormat/>
    <w:rPr>
      <w:color w:val="FF0000"/>
    </w:rPr>
  </w:style>
  <w:style w:type="paragraph" w:styleId="Liste">
    <w:name w:val="List"/>
    <w:basedOn w:val="Normal"/>
    <w:link w:val="ListeCar"/>
    <w:pPr>
      <w:ind w:left="568" w:hanging="284"/>
    </w:pPr>
    <w:rPr>
      <w:rFonts w:ascii="Arial" w:hAnsi="Arial" w:cs="Arial"/>
      <w:color w:val="0000FF"/>
      <w:kern w:val="2"/>
    </w:r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style>
  <w:style w:type="paragraph" w:customStyle="1" w:styleId="B5">
    <w:name w:val="B5"/>
    <w:basedOn w:val="Liste5"/>
    <w:link w:val="B5Char"/>
    <w:qFormat/>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Lienhypertexte">
    <w:name w:val="Hyperlink"/>
    <w:rPr>
      <w:rFonts w:ascii="Arial" w:eastAsia="SimSun" w:hAnsi="Arial" w:cs="Arial"/>
      <w:color w:val="0000FF"/>
      <w:kern w:val="2"/>
      <w:u w:val="single"/>
      <w:lang w:val="en-US" w:eastAsia="zh-CN" w:bidi="ar-SA"/>
    </w:rPr>
  </w:style>
  <w:style w:type="character" w:styleId="Marquedecommentaire">
    <w:name w:val="annotation reference"/>
    <w:uiPriority w:val="99"/>
    <w:qFormat/>
    <w:rPr>
      <w:rFonts w:ascii="Arial" w:eastAsia="SimSun" w:hAnsi="Arial" w:cs="Arial"/>
      <w:color w:val="0000FF"/>
      <w:kern w:val="2"/>
      <w:sz w:val="16"/>
      <w:lang w:val="en-US" w:eastAsia="zh-CN" w:bidi="ar-SA"/>
    </w:rPr>
  </w:style>
  <w:style w:type="paragraph" w:styleId="Commentaire">
    <w:name w:val="annotation text"/>
    <w:basedOn w:val="Normal"/>
    <w:link w:val="CommentaireCar"/>
    <w:qFormat/>
  </w:style>
  <w:style w:type="character" w:styleId="Lienhypertextesuivivisit">
    <w:name w:val="FollowedHyperlink"/>
    <w:rPr>
      <w:rFonts w:ascii="Arial" w:eastAsia="SimSun" w:hAnsi="Arial" w:cs="Arial"/>
      <w:color w:val="0000FF"/>
      <w:kern w:val="2"/>
      <w:u w:val="single"/>
      <w:lang w:val="en-US" w:eastAsia="zh-CN" w:bidi="ar-SA"/>
    </w:rPr>
  </w:style>
  <w:style w:type="paragraph" w:styleId="Textedebulles">
    <w:name w:val="Balloon Text"/>
    <w:basedOn w:val="Normal"/>
    <w:semiHidden/>
    <w:rsid w:val="00FE6281"/>
    <w:rPr>
      <w:rFonts w:ascii="Tahoma" w:hAnsi="Tahoma" w:cs="Tahoma"/>
      <w:sz w:val="16"/>
      <w:szCs w:val="16"/>
    </w:rPr>
  </w:style>
  <w:style w:type="table" w:styleId="Grilledutableau">
    <w:name w:val="Table Grid"/>
    <w:aliases w:val="TableGrid,网格型,ST Table,Check(v),Table-Text,x Tableau page de garde"/>
    <w:basedOn w:val="Tableau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rsid w:val="00185D65"/>
    <w:pPr>
      <w:spacing w:after="120"/>
    </w:pPr>
    <w:rPr>
      <w:rFonts w:ascii="Arial" w:hAnsi="Arial"/>
      <w:color w:val="000000"/>
    </w:rPr>
  </w:style>
  <w:style w:type="table" w:styleId="Tableaulgant">
    <w:name w:val="Table Elegant"/>
    <w:basedOn w:val="Tableau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Objetducommentaire">
    <w:name w:val="annotation subject"/>
    <w:basedOn w:val="Commentaire"/>
    <w:next w:val="Commentaire"/>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eCar">
    <w:name w:val="Liste Car"/>
    <w:link w:val="Liste"/>
    <w:rsid w:val="00466A93"/>
    <w:rPr>
      <w:rFonts w:ascii="Arial" w:eastAsia="Batang" w:hAnsi="Arial" w:cs="Arial"/>
      <w:color w:val="0000FF"/>
      <w:kern w:val="2"/>
      <w:lang w:val="en-GB" w:eastAsia="en-US" w:bidi="ar-SA"/>
    </w:rPr>
  </w:style>
  <w:style w:type="character" w:customStyle="1" w:styleId="Liste2Car">
    <w:name w:val="Liste 2 Car"/>
    <w:basedOn w:val="ListeCar"/>
    <w:link w:val="Liste2"/>
    <w:rsid w:val="00466A93"/>
    <w:rPr>
      <w:rFonts w:ascii="Arial" w:eastAsia="Batang" w:hAnsi="Arial" w:cs="Arial"/>
      <w:color w:val="0000FF"/>
      <w:kern w:val="2"/>
      <w:lang w:val="en-GB" w:eastAsia="en-US" w:bidi="ar-SA"/>
    </w:rPr>
  </w:style>
  <w:style w:type="character" w:customStyle="1" w:styleId="B2Char">
    <w:name w:val="B2 Char"/>
    <w:basedOn w:val="Liste2C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Numrodepage">
    <w:name w:val="page number"/>
    <w:basedOn w:val="Policepardfau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Explorateurdedocuments">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Corpsdetexte">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vision">
    <w:name w:val="Revision"/>
    <w:hidden/>
    <w:uiPriority w:val="99"/>
    <w:semiHidden/>
    <w:rsid w:val="00D85DA3"/>
    <w:pPr>
      <w:spacing w:after="180" w:line="276" w:lineRule="auto"/>
    </w:pPr>
    <w:rPr>
      <w:rFonts w:ascii="Times New Roman" w:hAnsi="Times New Roman"/>
      <w:lang w:val="en-GB" w:eastAsia="en-US"/>
    </w:rPr>
  </w:style>
  <w:style w:type="paragraph" w:styleId="Notedefin">
    <w:name w:val="endnote text"/>
    <w:basedOn w:val="Normal"/>
    <w:link w:val="NotedefinCar"/>
    <w:rsid w:val="00256FE3"/>
    <w:pPr>
      <w:snapToGrid w:val="0"/>
    </w:pPr>
    <w:rPr>
      <w:rFonts w:eastAsia="SimSun" w:cs="Arial"/>
      <w:color w:val="0000FF"/>
      <w:kern w:val="2"/>
    </w:rPr>
  </w:style>
  <w:style w:type="character" w:customStyle="1" w:styleId="NotedefinCar">
    <w:name w:val="Note de fin Car"/>
    <w:link w:val="Notedefin"/>
    <w:rsid w:val="00256FE3"/>
    <w:rPr>
      <w:rFonts w:ascii="Times New Roman" w:eastAsia="SimSun" w:hAnsi="Times New Roman" w:cs="Arial"/>
      <w:color w:val="0000FF"/>
      <w:kern w:val="2"/>
      <w:lang w:val="en-GB" w:eastAsia="en-US" w:bidi="ar-SA"/>
    </w:rPr>
  </w:style>
  <w:style w:type="character" w:styleId="Appeldenotedefin">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Tableauclassique1">
    <w:name w:val="Table Classic 1"/>
    <w:basedOn w:val="Tableau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Paragraphedeliste">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ParagraphedelisteCar"/>
    <w:uiPriority w:val="34"/>
    <w:qFormat/>
    <w:rsid w:val="0098606A"/>
    <w:pPr>
      <w:spacing w:after="0"/>
      <w:ind w:left="720"/>
    </w:pPr>
    <w:rPr>
      <w:rFonts w:ascii="Calibri" w:eastAsia="Malgun Gothic" w:hAnsi="Calibri"/>
      <w:sz w:val="22"/>
      <w:szCs w:val="22"/>
      <w:lang w:val="x-none" w:eastAsia="zh-CN"/>
    </w:rPr>
  </w:style>
  <w:style w:type="paragraph" w:styleId="Lgende">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LgendeCar"/>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4143B1"/>
    <w:rPr>
      <w:rFonts w:ascii="Arial" w:hAnsi="Arial"/>
      <w:b/>
      <w:noProof/>
      <w:sz w:val="18"/>
      <w:lang w:val="en-GB" w:eastAsia="en-US" w:bidi="ar-SA"/>
    </w:rPr>
  </w:style>
  <w:style w:type="character" w:customStyle="1" w:styleId="LgendeCar">
    <w:name w:val="Légende Car"/>
    <w:aliases w:val="cap Car,cap Char Car,Caption Char Car,Caption Char1 Char Car,cap Char Char1 Car,Caption Char Char1 Char Car,cap Char2 Car,cap1 Car,cap2 Car,cap11 Car,Légende-figure Car,Légende-figure Char Car,Beschrifubg Car,Beschriftung Char Car,label Car"/>
    <w:link w:val="Lgende"/>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Titre2Car">
    <w:name w:val="Titre 2 Car"/>
    <w:aliases w:val="H2 Car,h2 Car,Head2A Car,2 Car,UNDERRUBRIK 1-2 Car,DO NOT USE_h2 Car,h21 Car,H2 Char Car,h2 Char Car,标题 2 Car,Header 2 Car,Header2 Car,22 Car,heading2 Car,2nd level Car,H21 Car,H22 Car,H23 Car,H24 Car,H25 Car,R2 Car,E2 Car,†berschrift 2 Car"/>
    <w:link w:val="Titre2"/>
    <w:uiPriority w:val="9"/>
    <w:rsid w:val="000D535C"/>
    <w:rPr>
      <w:rFonts w:ascii="Arial" w:eastAsia="SimSun" w:hAnsi="Arial"/>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ParagraphedelisteCar">
    <w:name w:val="Paragraphe de liste Car"/>
    <w:aliases w:val="- Bullets Car,リスト段落 Car,Lista1 Car,?? ?? Car,????? Car,???? Car,列出段落1 Car,中等深浅网格 1 - 着色 21 Car,¥¡¡¡¡ì¬º¥¹¥È¶ÎÂä Car,ÁÐ³ö¶ÎÂä Car,列表段落1 Car,—ño’i—Ž Car,¥ê¥¹¥È¶ÎÂä Car,1st level - Bullet List Paragraph Car,Paragrafo elenco Car"/>
    <w:link w:val="Paragraphedeliste"/>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Sansinterligne">
    <w:name w:val="No Spacing"/>
    <w:uiPriority w:val="1"/>
    <w:qFormat/>
    <w:rsid w:val="00732789"/>
    <w:rPr>
      <w:rFonts w:ascii="Times New Roman" w:hAnsi="Times New Roman"/>
      <w:lang w:val="en-GB" w:eastAsia="en-US"/>
    </w:rPr>
  </w:style>
  <w:style w:type="paragraph" w:styleId="Titre">
    <w:name w:val="Title"/>
    <w:basedOn w:val="Normal"/>
    <w:next w:val="Normal"/>
    <w:link w:val="TitreCar"/>
    <w:qFormat/>
    <w:rsid w:val="007667E7"/>
    <w:pPr>
      <w:spacing w:before="240" w:after="120"/>
      <w:jc w:val="center"/>
      <w:outlineLvl w:val="0"/>
    </w:pPr>
    <w:rPr>
      <w:rFonts w:ascii="Malgun Gothic" w:eastAsia="Dotum" w:hAnsi="Malgun Gothic"/>
      <w:b/>
      <w:bCs/>
      <w:sz w:val="32"/>
      <w:szCs w:val="32"/>
    </w:rPr>
  </w:style>
  <w:style w:type="character" w:customStyle="1" w:styleId="TitreCar">
    <w:name w:val="Titre Car"/>
    <w:link w:val="Titre"/>
    <w:rsid w:val="007667E7"/>
    <w:rPr>
      <w:rFonts w:ascii="Malgun Gothic" w:eastAsia="Dotum" w:hAnsi="Malgun Gothic" w:cs="Times New Roman"/>
      <w:b/>
      <w:bCs/>
      <w:color w:val="0000FF"/>
      <w:kern w:val="2"/>
      <w:sz w:val="32"/>
      <w:szCs w:val="32"/>
      <w:lang w:val="en-GB" w:eastAsia="en-US" w:bidi="ar-SA"/>
    </w:rPr>
  </w:style>
  <w:style w:type="paragraph" w:styleId="Sous-titre">
    <w:name w:val="Subtitle"/>
    <w:basedOn w:val="Normal"/>
    <w:next w:val="Normal"/>
    <w:link w:val="Sous-titreCar"/>
    <w:qFormat/>
    <w:rsid w:val="007667E7"/>
    <w:pPr>
      <w:spacing w:after="60"/>
      <w:jc w:val="center"/>
      <w:outlineLvl w:val="1"/>
    </w:pPr>
    <w:rPr>
      <w:rFonts w:ascii="Malgun Gothic" w:eastAsia="Dotum" w:hAnsi="Malgun Gothic"/>
      <w:i/>
      <w:iCs/>
      <w:sz w:val="24"/>
      <w:szCs w:val="24"/>
    </w:rPr>
  </w:style>
  <w:style w:type="character" w:customStyle="1" w:styleId="Sous-titreCar">
    <w:name w:val="Sous-titre Car"/>
    <w:link w:val="Sous-titr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Textedelespacerserv">
    <w:name w:val="Placeholder Text"/>
    <w:basedOn w:val="Policepardfau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lev">
    <w:name w:val="Strong"/>
    <w:uiPriority w:val="22"/>
    <w:qFormat/>
    <w:rsid w:val="00143886"/>
    <w:rPr>
      <w:b/>
      <w:bCs/>
    </w:rPr>
  </w:style>
  <w:style w:type="character" w:styleId="Accentuation">
    <w:name w:val="Emphasis"/>
    <w:qFormat/>
    <w:rsid w:val="00143886"/>
    <w:rPr>
      <w:i/>
      <w:iCs/>
    </w:rPr>
  </w:style>
  <w:style w:type="character" w:customStyle="1" w:styleId="CommentaireCar">
    <w:name w:val="Commentaire Car"/>
    <w:basedOn w:val="Policepardfaut"/>
    <w:link w:val="Commentaire"/>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Policepardfaut"/>
    <w:rsid w:val="00B24B30"/>
  </w:style>
  <w:style w:type="character" w:customStyle="1" w:styleId="apple-converted-space">
    <w:name w:val="apple-converted-space"/>
    <w:basedOn w:val="Policepardfaut"/>
    <w:qFormat/>
    <w:rsid w:val="00456CE6"/>
  </w:style>
  <w:style w:type="paragraph" w:customStyle="1" w:styleId="listparagraph">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auNormal"/>
    <w:next w:val="Grilledutableau"/>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Policepardfaut"/>
    <w:rsid w:val="00D14BBD"/>
  </w:style>
  <w:style w:type="paragraph" w:customStyle="1" w:styleId="Observation">
    <w:name w:val="Observation"/>
    <w:basedOn w:val="Normal"/>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Policepardfaut"/>
    <w:qFormat/>
    <w:rsid w:val="0084419F"/>
  </w:style>
  <w:style w:type="table" w:customStyle="1" w:styleId="TableGrid11">
    <w:name w:val="TableGrid11"/>
    <w:basedOn w:val="TableauNormal"/>
    <w:next w:val="Grilledutableau"/>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umros3">
    <w:name w:val="List Number 3"/>
    <w:basedOn w:val="Normal"/>
    <w:qFormat/>
    <w:rsid w:val="008C0DF6"/>
    <w:pPr>
      <w:numPr>
        <w:numId w:val="11"/>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Normal"/>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Normal"/>
    <w:link w:val="0MaintextChar"/>
    <w:qFormat/>
    <w:rsid w:val="001A1194"/>
    <w:pPr>
      <w:spacing w:after="100" w:afterAutospacing="1" w:line="288" w:lineRule="auto"/>
      <w:ind w:firstLine="360"/>
      <w:jc w:val="both"/>
    </w:pPr>
    <w:rPr>
      <w:rFonts w:eastAsia="Malgun Gothic" w:cs="Batang"/>
      <w:lang w:val="en-GB"/>
    </w:rPr>
  </w:style>
  <w:style w:type="character" w:customStyle="1" w:styleId="0MaintextChar">
    <w:name w:val="0 Main text Char"/>
    <w:basedOn w:val="Policepardfaut"/>
    <w:link w:val="0Maintext"/>
    <w:qFormat/>
    <w:rsid w:val="001A1194"/>
    <w:rPr>
      <w:rFonts w:ascii="Times New Roman" w:eastAsia="Malgun Gothic" w:hAnsi="Times New Roman" w:cs="Batang"/>
      <w:lang w:val="en-GB" w:eastAsia="en-US"/>
    </w:rPr>
  </w:style>
  <w:style w:type="paragraph" w:customStyle="1" w:styleId="Default">
    <w:name w:val="Default"/>
    <w:rsid w:val="00716743"/>
    <w:pPr>
      <w:widowControl w:val="0"/>
      <w:autoSpaceDE w:val="0"/>
      <w:autoSpaceDN w:val="0"/>
      <w:adjustRightInd w:val="0"/>
    </w:pPr>
    <w:rPr>
      <w:rFonts w:ascii="Arial" w:hAnsi="Arial" w:cs="Arial"/>
      <w:color w:val="000000"/>
      <w:sz w:val="24"/>
      <w:szCs w:val="24"/>
    </w:rPr>
  </w:style>
  <w:style w:type="character" w:customStyle="1" w:styleId="maintextChar">
    <w:name w:val="main text Char"/>
    <w:link w:val="maintext"/>
    <w:qFormat/>
    <w:locked/>
    <w:rsid w:val="003A0EE1"/>
    <w:rPr>
      <w:rFonts w:ascii="Times New Roman" w:eastAsia="Malgun Gothic" w:hAnsi="Times New Roman"/>
      <w:lang w:val="en-GB"/>
    </w:rPr>
  </w:style>
  <w:style w:type="paragraph" w:customStyle="1" w:styleId="maintext">
    <w:name w:val="main text"/>
    <w:basedOn w:val="Normal"/>
    <w:link w:val="maintextChar"/>
    <w:qFormat/>
    <w:rsid w:val="003A0EE1"/>
    <w:pPr>
      <w:spacing w:before="60" w:after="60" w:line="288" w:lineRule="auto"/>
      <w:ind w:firstLineChars="200" w:firstLine="200"/>
      <w:jc w:val="both"/>
    </w:pPr>
    <w:rPr>
      <w:rFonts w:eastAsia="Malgun Gothic"/>
      <w:lang w:val="en-GB" w:eastAsia="ko-KR"/>
    </w:rPr>
  </w:style>
  <w:style w:type="paragraph" w:customStyle="1" w:styleId="references">
    <w:name w:val="references"/>
    <w:uiPriority w:val="99"/>
    <w:rsid w:val="000D535C"/>
    <w:pPr>
      <w:numPr>
        <w:numId w:val="13"/>
      </w:numPr>
      <w:spacing w:after="50" w:line="180" w:lineRule="exact"/>
      <w:jc w:val="both"/>
    </w:pPr>
    <w:rPr>
      <w:rFonts w:ascii="Times New Roman" w:eastAsia="MS Mincho" w:hAnsi="Times New Roman"/>
      <w:noProof/>
      <w:szCs w:val="16"/>
      <w:lang w:eastAsia="en-US"/>
    </w:rPr>
  </w:style>
  <w:style w:type="paragraph" w:customStyle="1" w:styleId="DraftProposal">
    <w:name w:val="Draft Proposal"/>
    <w:basedOn w:val="Corpsdetexte"/>
    <w:next w:val="Normal"/>
    <w:uiPriority w:val="99"/>
    <w:qFormat/>
    <w:rsid w:val="00E45B77"/>
    <w:pPr>
      <w:numPr>
        <w:numId w:val="25"/>
      </w:numPr>
      <w:tabs>
        <w:tab w:val="left" w:pos="1701"/>
      </w:tabs>
      <w:spacing w:after="160" w:line="259" w:lineRule="auto"/>
    </w:pPr>
    <w:rPr>
      <w:rFonts w:ascii="Arial" w:eastAsiaTheme="minorHAnsi" w:hAnsi="Arial" w:cstheme="minorBidi"/>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748520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94356977">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1945421">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64358982">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39705132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36426918">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96519-08AE-4B0E-8891-77C1FBD1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Pages>
  <Words>825</Words>
  <Characters>4543</Characters>
  <Application>Microsoft Office Word</Application>
  <DocSecurity>0</DocSecurity>
  <Lines>37</Lines>
  <Paragraphs>10</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RAN1</vt:lpstr>
      <vt:lpstr>3GPP RAN1</vt:lpstr>
      <vt:lpstr>3GPP RAN1</vt:lpstr>
    </vt:vector>
  </TitlesOfParts>
  <Company>3GPP Support Team</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mohamed.el-jaafari@thalesaleniaspace.com</dc:creator>
  <cp:keywords/>
  <cp:lastModifiedBy>Thales</cp:lastModifiedBy>
  <cp:revision>25</cp:revision>
  <cp:lastPrinted>2015-10-31T09:51:00Z</cp:lastPrinted>
  <dcterms:created xsi:type="dcterms:W3CDTF">2025-03-21T09:11:00Z</dcterms:created>
  <dcterms:modified xsi:type="dcterms:W3CDTF">2025-03-28T20:34:00Z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